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31" w:rsidRPr="001245FC" w:rsidRDefault="0094716B" w:rsidP="00912431">
      <w:pPr>
        <w:spacing w:line="360" w:lineRule="auto"/>
        <w:rPr>
          <w:rFonts w:asciiTheme="majorHAnsi" w:hAnsiTheme="majorHAnsi"/>
          <w:b/>
          <w:shadow/>
          <w:sz w:val="32"/>
          <w:szCs w:val="32"/>
          <w:u w:val="single"/>
        </w:rPr>
      </w:pPr>
      <w:r w:rsidRPr="001245FC">
        <w:rPr>
          <w:rFonts w:asciiTheme="majorHAnsi" w:hAnsiTheme="majorHAnsi"/>
          <w:b/>
          <w:shadow/>
          <w:sz w:val="32"/>
          <w:szCs w:val="32"/>
          <w:u w:val="single"/>
        </w:rPr>
        <w:t>Chapter One</w:t>
      </w:r>
    </w:p>
    <w:p w:rsidR="0094716B" w:rsidRPr="001245FC" w:rsidRDefault="0094716B" w:rsidP="00912431">
      <w:pPr>
        <w:spacing w:line="360" w:lineRule="auto"/>
        <w:rPr>
          <w:rFonts w:asciiTheme="majorHAnsi" w:hAnsiTheme="majorHAnsi"/>
          <w:b/>
          <w:shadow/>
          <w:sz w:val="32"/>
          <w:szCs w:val="32"/>
          <w:u w:val="single"/>
        </w:rPr>
      </w:pPr>
      <w:r w:rsidRPr="001245FC">
        <w:rPr>
          <w:rFonts w:asciiTheme="majorHAnsi" w:hAnsiTheme="majorHAnsi"/>
          <w:b/>
          <w:shadow/>
          <w:sz w:val="32"/>
          <w:szCs w:val="32"/>
          <w:u w:val="single"/>
        </w:rPr>
        <w:t>Introduction and Methodology</w:t>
      </w:r>
    </w:p>
    <w:p w:rsidR="00912431" w:rsidRPr="001245FC" w:rsidRDefault="0094716B" w:rsidP="00912431">
      <w:pPr>
        <w:pStyle w:val="NormalWeb"/>
        <w:rPr>
          <w:rStyle w:val="Strong"/>
          <w:rFonts w:asciiTheme="majorHAnsi" w:hAnsiTheme="majorHAnsi"/>
          <w:u w:val="single"/>
        </w:rPr>
      </w:pPr>
      <w:r w:rsidRPr="001245FC">
        <w:rPr>
          <w:rStyle w:val="Strong"/>
          <w:rFonts w:asciiTheme="majorHAnsi" w:hAnsiTheme="majorHAnsi"/>
          <w:u w:val="single"/>
        </w:rPr>
        <w:t>Introduction of the company</w:t>
      </w:r>
    </w:p>
    <w:p w:rsidR="00912431" w:rsidRPr="00726C06" w:rsidRDefault="00912431" w:rsidP="00912431">
      <w:pPr>
        <w:pStyle w:val="NormalWeb"/>
        <w:spacing w:line="360" w:lineRule="auto"/>
        <w:rPr>
          <w:rStyle w:val="Strong"/>
          <w:rFonts w:asciiTheme="majorHAnsi" w:hAnsiTheme="majorHAnsi"/>
          <w:b w:val="0"/>
        </w:rPr>
      </w:pPr>
      <w:r w:rsidRPr="00726C06">
        <w:rPr>
          <w:rStyle w:val="Strong"/>
          <w:rFonts w:asciiTheme="majorHAnsi" w:hAnsiTheme="majorHAnsi"/>
          <w:b w:val="0"/>
        </w:rPr>
        <w:t>We have selected bangas Limited as the company to analyze the financial condition. Here is a short overview of the company.</w:t>
      </w:r>
    </w:p>
    <w:p w:rsidR="00912431" w:rsidRPr="00726C06" w:rsidRDefault="00912431" w:rsidP="00912431">
      <w:pPr>
        <w:pStyle w:val="NormalWeb"/>
        <w:rPr>
          <w:rFonts w:asciiTheme="majorHAnsi" w:hAnsiTheme="majorHAnsi"/>
        </w:rPr>
      </w:pPr>
      <w:r w:rsidRPr="00726C06">
        <w:rPr>
          <w:rStyle w:val="Strong"/>
          <w:rFonts w:asciiTheme="majorHAnsi" w:hAnsiTheme="majorHAnsi"/>
        </w:rPr>
        <w:t>Type of Company:</w:t>
      </w:r>
      <w:r w:rsidRPr="00726C06">
        <w:rPr>
          <w:rFonts w:asciiTheme="majorHAnsi" w:hAnsiTheme="majorHAnsi"/>
        </w:rPr>
        <w:t xml:space="preserve"> Listed Public Limited (Dhaka &amp; Chittagong Stock Exchange)</w:t>
      </w:r>
    </w:p>
    <w:p w:rsidR="00912431" w:rsidRPr="00726C06" w:rsidRDefault="00912431" w:rsidP="00912431">
      <w:pPr>
        <w:pStyle w:val="NormalWeb"/>
        <w:spacing w:line="360" w:lineRule="auto"/>
        <w:jc w:val="both"/>
        <w:rPr>
          <w:rFonts w:asciiTheme="majorHAnsi" w:hAnsiTheme="majorHAnsi"/>
        </w:rPr>
      </w:pPr>
      <w:r w:rsidRPr="00726C06">
        <w:rPr>
          <w:rStyle w:val="Strong"/>
          <w:rFonts w:asciiTheme="majorHAnsi" w:hAnsiTheme="majorHAnsi"/>
        </w:rPr>
        <w:t>Main Business:</w:t>
      </w:r>
      <w:r w:rsidRPr="00726C06">
        <w:rPr>
          <w:rFonts w:asciiTheme="majorHAnsi" w:hAnsiTheme="majorHAnsi"/>
        </w:rPr>
        <w:t xml:space="preserve"> Manufacture and Marketing of biscuits (sweet &amp; salted), breads &amp; excruded snacks. They not only have distributors all over the country for their products but also in the USA, Europe &amp; Middle East. </w:t>
      </w:r>
    </w:p>
    <w:p w:rsidR="00912431" w:rsidRPr="00726C06" w:rsidRDefault="00912431" w:rsidP="00912431">
      <w:pPr>
        <w:pStyle w:val="NormalWeb"/>
        <w:spacing w:line="360" w:lineRule="auto"/>
        <w:jc w:val="both"/>
        <w:rPr>
          <w:rFonts w:asciiTheme="majorHAnsi" w:hAnsiTheme="majorHAnsi"/>
        </w:rPr>
      </w:pPr>
      <w:r w:rsidRPr="00726C06">
        <w:rPr>
          <w:rStyle w:val="Strong"/>
          <w:rFonts w:asciiTheme="majorHAnsi" w:hAnsiTheme="majorHAnsi"/>
        </w:rPr>
        <w:t>History: </w:t>
      </w:r>
      <w:r w:rsidRPr="00726C06">
        <w:rPr>
          <w:rFonts w:asciiTheme="majorHAnsi" w:hAnsiTheme="majorHAnsi"/>
        </w:rPr>
        <w:t xml:space="preserve">The Company started its operations as bangas limited in 1979. It started its commercial production in November, 1981. The next two decades it continued as a highly successful subsidiary of Pfizer Corporation. However, by the early 1998s the focus of bangas was shifted to establishment of another production unit. In accordance with this transformation, bangas divested its interests in foreign countries, including USA, Europe &amp; Middle East. </w:t>
      </w:r>
    </w:p>
    <w:p w:rsidR="00912431" w:rsidRPr="00726C06" w:rsidRDefault="00912431" w:rsidP="00912431">
      <w:pPr>
        <w:pStyle w:val="NormalWeb"/>
        <w:rPr>
          <w:rFonts w:asciiTheme="majorHAnsi" w:hAnsiTheme="majorHAnsi"/>
        </w:rPr>
      </w:pPr>
      <w:r w:rsidRPr="00726C06">
        <w:rPr>
          <w:rStyle w:val="Strong"/>
          <w:rFonts w:asciiTheme="majorHAnsi" w:hAnsiTheme="majorHAnsi"/>
        </w:rPr>
        <w:t>No. of Employees:</w:t>
      </w:r>
      <w:r w:rsidRPr="00726C06">
        <w:rPr>
          <w:rFonts w:asciiTheme="majorHAnsi" w:hAnsiTheme="majorHAnsi"/>
        </w:rPr>
        <w:t xml:space="preserve"> 394 employees. </w:t>
      </w:r>
    </w:p>
    <w:p w:rsidR="00912431" w:rsidRPr="00726C06" w:rsidRDefault="00912431" w:rsidP="00912431">
      <w:pPr>
        <w:pStyle w:val="NormalWeb"/>
        <w:rPr>
          <w:rFonts w:asciiTheme="majorHAnsi" w:hAnsiTheme="majorHAnsi"/>
        </w:rPr>
      </w:pPr>
      <w:r w:rsidRPr="00726C06">
        <w:rPr>
          <w:rFonts w:asciiTheme="majorHAnsi" w:hAnsiTheme="majorHAnsi"/>
          <w:b/>
        </w:rPr>
        <w:t>No. of Distributors:</w:t>
      </w:r>
      <w:r w:rsidRPr="00726C06">
        <w:rPr>
          <w:rFonts w:asciiTheme="majorHAnsi" w:hAnsiTheme="majorHAnsi"/>
        </w:rPr>
        <w:t xml:space="preserve">  50.</w:t>
      </w:r>
    </w:p>
    <w:p w:rsidR="00912431" w:rsidRPr="00726C06" w:rsidRDefault="00912431" w:rsidP="00912431">
      <w:pPr>
        <w:pStyle w:val="NormalWeb"/>
        <w:jc w:val="both"/>
        <w:rPr>
          <w:rFonts w:asciiTheme="majorHAnsi" w:hAnsiTheme="majorHAnsi"/>
        </w:rPr>
      </w:pPr>
      <w:r w:rsidRPr="00726C06">
        <w:rPr>
          <w:rStyle w:val="Strong"/>
          <w:rFonts w:asciiTheme="majorHAnsi" w:hAnsiTheme="majorHAnsi"/>
        </w:rPr>
        <w:t>International Presence:</w:t>
      </w:r>
      <w:r w:rsidRPr="00726C06">
        <w:rPr>
          <w:rFonts w:asciiTheme="majorHAnsi" w:hAnsiTheme="majorHAnsi"/>
        </w:rPr>
        <w:t xml:space="preserve"> USA, Europe &amp; Middle East.</w:t>
      </w:r>
    </w:p>
    <w:p w:rsidR="00912431" w:rsidRPr="00726C06" w:rsidRDefault="00912431" w:rsidP="00912431">
      <w:pPr>
        <w:pStyle w:val="NormalWeb"/>
        <w:jc w:val="both"/>
        <w:rPr>
          <w:rFonts w:asciiTheme="majorHAnsi" w:hAnsiTheme="majorHAnsi"/>
        </w:rPr>
      </w:pPr>
      <w:r w:rsidRPr="00726C06">
        <w:rPr>
          <w:rStyle w:val="Strong"/>
          <w:rFonts w:asciiTheme="majorHAnsi" w:hAnsiTheme="majorHAnsi"/>
        </w:rPr>
        <w:t>Investment:</w:t>
      </w:r>
      <w:r w:rsidRPr="00726C06">
        <w:rPr>
          <w:rFonts w:asciiTheme="majorHAnsi" w:hAnsiTheme="majorHAnsi"/>
        </w:rPr>
        <w:t xml:space="preserve"> 100% Shareholding in bangas Limited.</w:t>
      </w:r>
    </w:p>
    <w:p w:rsidR="00912431" w:rsidRPr="00726C06" w:rsidRDefault="00912431" w:rsidP="00912431">
      <w:pPr>
        <w:pStyle w:val="NormalWeb"/>
        <w:jc w:val="both"/>
        <w:rPr>
          <w:rFonts w:asciiTheme="majorHAnsi" w:hAnsiTheme="majorHAnsi"/>
        </w:rPr>
      </w:pPr>
      <w:r w:rsidRPr="00726C06">
        <w:rPr>
          <w:rStyle w:val="Strong"/>
          <w:rFonts w:asciiTheme="majorHAnsi" w:hAnsiTheme="majorHAnsi"/>
        </w:rPr>
        <w:t>Bankers:</w:t>
      </w:r>
      <w:r w:rsidRPr="00726C06">
        <w:rPr>
          <w:rFonts w:asciiTheme="majorHAnsi" w:hAnsiTheme="majorHAnsi"/>
        </w:rPr>
        <w:t xml:space="preserve"> Agrani Bank, Mutual Trust Bank.</w:t>
      </w:r>
    </w:p>
    <w:p w:rsidR="00B16F07" w:rsidRPr="001245FC" w:rsidRDefault="00912431" w:rsidP="00B16F07">
      <w:pPr>
        <w:spacing w:line="360" w:lineRule="auto"/>
        <w:jc w:val="both"/>
        <w:rPr>
          <w:rFonts w:asciiTheme="majorHAnsi" w:hAnsiTheme="majorHAnsi"/>
          <w:sz w:val="28"/>
          <w:szCs w:val="28"/>
          <w:u w:val="single"/>
        </w:rPr>
      </w:pPr>
      <w:r w:rsidRPr="00726C06">
        <w:rPr>
          <w:rFonts w:asciiTheme="majorHAnsi" w:hAnsiTheme="majorHAnsi"/>
          <w:sz w:val="24"/>
          <w:szCs w:val="24"/>
        </w:rPr>
        <w:br w:type="page"/>
      </w:r>
      <w:r w:rsidR="00B16F07" w:rsidRPr="001245FC">
        <w:rPr>
          <w:rFonts w:asciiTheme="majorHAnsi" w:hAnsiTheme="majorHAnsi"/>
          <w:b/>
          <w:sz w:val="28"/>
          <w:szCs w:val="28"/>
          <w:u w:val="single"/>
        </w:rPr>
        <w:lastRenderedPageBreak/>
        <w:t>Objective:</w:t>
      </w:r>
      <w:r w:rsidR="00B16F07" w:rsidRPr="001245FC">
        <w:rPr>
          <w:rFonts w:asciiTheme="majorHAnsi" w:hAnsiTheme="majorHAnsi"/>
          <w:sz w:val="28"/>
          <w:szCs w:val="28"/>
          <w:u w:val="single"/>
        </w:rPr>
        <w:t xml:space="preserve"> </w:t>
      </w:r>
    </w:p>
    <w:p w:rsidR="00B16F07" w:rsidRPr="00726C06" w:rsidRDefault="00B16F07" w:rsidP="00B16F07">
      <w:pPr>
        <w:spacing w:line="360" w:lineRule="auto"/>
        <w:jc w:val="both"/>
        <w:rPr>
          <w:rFonts w:asciiTheme="majorHAnsi" w:hAnsiTheme="majorHAnsi"/>
          <w:sz w:val="24"/>
          <w:szCs w:val="24"/>
        </w:rPr>
      </w:pPr>
      <w:r w:rsidRPr="00726C06">
        <w:rPr>
          <w:rFonts w:asciiTheme="majorHAnsi" w:hAnsiTheme="majorHAnsi"/>
          <w:sz w:val="24"/>
          <w:szCs w:val="24"/>
        </w:rPr>
        <w:t>Find out the difference between book value and market value of the share price and to identify the possible reasons behind this difference, and find if there is any specific hidden discrepancy in the existing financial statements of the company</w:t>
      </w:r>
    </w:p>
    <w:p w:rsidR="00B16F07" w:rsidRPr="00726C06" w:rsidRDefault="00B16F07" w:rsidP="00B16F07">
      <w:pPr>
        <w:spacing w:line="360" w:lineRule="auto"/>
        <w:jc w:val="both"/>
        <w:rPr>
          <w:rFonts w:asciiTheme="majorHAnsi" w:hAnsiTheme="majorHAnsi"/>
          <w:sz w:val="24"/>
          <w:szCs w:val="24"/>
        </w:rPr>
      </w:pPr>
    </w:p>
    <w:p w:rsidR="00B16F07" w:rsidRDefault="00B16F07" w:rsidP="00B16F07">
      <w:pPr>
        <w:spacing w:line="360" w:lineRule="auto"/>
        <w:jc w:val="both"/>
        <w:rPr>
          <w:rFonts w:asciiTheme="majorHAnsi" w:hAnsiTheme="majorHAnsi"/>
          <w:sz w:val="24"/>
          <w:szCs w:val="24"/>
        </w:rPr>
      </w:pPr>
      <w:r w:rsidRPr="00726C06">
        <w:rPr>
          <w:rFonts w:asciiTheme="majorHAnsi" w:hAnsiTheme="majorHAnsi"/>
          <w:sz w:val="24"/>
          <w:szCs w:val="24"/>
        </w:rPr>
        <w:t>Making a thorough analysis of the company’s financial statements over the last 5 years through ratio analysis, cash flow analysis and analysis of major components of the balance sheet and trying to identify the actual state of the company since its enlistment in Dhaka Stock Exchange (DSE).</w:t>
      </w:r>
    </w:p>
    <w:p w:rsidR="00186EFB" w:rsidRPr="00726C06" w:rsidRDefault="00186EFB" w:rsidP="00186EFB">
      <w:pPr>
        <w:autoSpaceDE w:val="0"/>
        <w:autoSpaceDN w:val="0"/>
        <w:adjustRightInd w:val="0"/>
        <w:spacing w:line="360" w:lineRule="auto"/>
        <w:jc w:val="both"/>
        <w:rPr>
          <w:rFonts w:asciiTheme="majorHAnsi" w:hAnsiTheme="majorHAnsi"/>
          <w:sz w:val="24"/>
          <w:szCs w:val="24"/>
        </w:rPr>
      </w:pPr>
      <w:r w:rsidRPr="00726C06">
        <w:rPr>
          <w:rFonts w:asciiTheme="majorHAnsi" w:hAnsiTheme="majorHAnsi"/>
          <w:sz w:val="24"/>
          <w:szCs w:val="24"/>
        </w:rPr>
        <w:t>To compare the firm’s financial status with one of its rival firm (Olympic Ltd) through ratio analysis with the justification of balancing between the market price and book value of the shares.</w:t>
      </w:r>
    </w:p>
    <w:p w:rsidR="00B16F07" w:rsidRPr="00726C06" w:rsidRDefault="00186EFB" w:rsidP="00B16F07">
      <w:pPr>
        <w:autoSpaceDE w:val="0"/>
        <w:autoSpaceDN w:val="0"/>
        <w:adjustRightInd w:val="0"/>
        <w:spacing w:line="360" w:lineRule="auto"/>
        <w:jc w:val="both"/>
        <w:rPr>
          <w:rFonts w:asciiTheme="majorHAnsi" w:hAnsiTheme="majorHAnsi"/>
          <w:sz w:val="24"/>
          <w:szCs w:val="24"/>
        </w:rPr>
      </w:pPr>
      <w:r>
        <w:rPr>
          <w:rFonts w:asciiTheme="majorHAnsi" w:hAnsiTheme="majorHAnsi"/>
          <w:sz w:val="24"/>
          <w:szCs w:val="24"/>
        </w:rPr>
        <w:t>To concentrate on daily stock price and identify the points of significant fluctuations.To show how it is related to different corporate decisions like-Dividend declaration, account closing, EPS and Macro Economic factors like-Market Capitalization, Market Turnover and General Election of Bangladesh.</w:t>
      </w:r>
    </w:p>
    <w:p w:rsidR="00B16F07" w:rsidRPr="00726C06" w:rsidRDefault="00B16F07" w:rsidP="00B16F07">
      <w:pPr>
        <w:autoSpaceDE w:val="0"/>
        <w:autoSpaceDN w:val="0"/>
        <w:adjustRightInd w:val="0"/>
        <w:spacing w:line="360" w:lineRule="auto"/>
        <w:jc w:val="both"/>
        <w:rPr>
          <w:rFonts w:asciiTheme="majorHAnsi" w:hAnsiTheme="majorHAnsi"/>
          <w:sz w:val="24"/>
          <w:szCs w:val="24"/>
        </w:rPr>
      </w:pPr>
      <w:r w:rsidRPr="00726C06">
        <w:rPr>
          <w:rFonts w:asciiTheme="majorHAnsi" w:hAnsiTheme="majorHAnsi"/>
          <w:sz w:val="24"/>
          <w:szCs w:val="24"/>
        </w:rPr>
        <w:t>Find out the growth to make the Pro Forma Statements (The Income Statement and the Balance Sheet) and thus forecast the growth potentials of Bangas Ltd along with the stated out the results yielding out after the 5 year long term projection (long term cumulative process</w:t>
      </w:r>
      <w:r w:rsidR="00186EFB">
        <w:rPr>
          <w:rFonts w:asciiTheme="majorHAnsi" w:hAnsiTheme="majorHAnsi"/>
          <w:sz w:val="24"/>
          <w:szCs w:val="24"/>
        </w:rPr>
        <w:t>.</w:t>
      </w:r>
    </w:p>
    <w:p w:rsidR="00B16F07" w:rsidRPr="00726C06" w:rsidRDefault="00186EFB" w:rsidP="00B16F07">
      <w:pPr>
        <w:autoSpaceDE w:val="0"/>
        <w:autoSpaceDN w:val="0"/>
        <w:adjustRightInd w:val="0"/>
        <w:spacing w:line="360" w:lineRule="auto"/>
        <w:jc w:val="both"/>
        <w:rPr>
          <w:rFonts w:asciiTheme="majorHAnsi" w:hAnsiTheme="majorHAnsi"/>
          <w:sz w:val="24"/>
          <w:szCs w:val="24"/>
        </w:rPr>
      </w:pPr>
      <w:r>
        <w:rPr>
          <w:rFonts w:asciiTheme="majorHAnsi" w:hAnsiTheme="majorHAnsi"/>
          <w:sz w:val="24"/>
          <w:szCs w:val="24"/>
        </w:rPr>
        <w:t>To make a perfect projection of share value in future by the help of current and past data.</w:t>
      </w:r>
    </w:p>
    <w:p w:rsidR="00912431" w:rsidRPr="001245FC" w:rsidRDefault="00B800E3" w:rsidP="00B16F07">
      <w:pPr>
        <w:rPr>
          <w:rFonts w:asciiTheme="majorHAnsi" w:hAnsiTheme="majorHAnsi"/>
          <w:b/>
          <w:sz w:val="28"/>
          <w:szCs w:val="28"/>
          <w:u w:val="single"/>
        </w:rPr>
      </w:pPr>
      <w:r w:rsidRPr="00726C06">
        <w:rPr>
          <w:rFonts w:asciiTheme="majorHAnsi" w:hAnsiTheme="majorHAnsi"/>
          <w:b/>
          <w:sz w:val="24"/>
          <w:szCs w:val="24"/>
        </w:rPr>
        <w:br w:type="page"/>
      </w:r>
      <w:r w:rsidR="00912431" w:rsidRPr="001245FC">
        <w:rPr>
          <w:rFonts w:asciiTheme="majorHAnsi" w:hAnsiTheme="majorHAnsi"/>
          <w:b/>
          <w:sz w:val="28"/>
          <w:szCs w:val="28"/>
          <w:u w:val="single"/>
        </w:rPr>
        <w:lastRenderedPageBreak/>
        <w:t xml:space="preserve">Identification of </w:t>
      </w:r>
      <w:r w:rsidR="00186EFB" w:rsidRPr="001245FC">
        <w:rPr>
          <w:rFonts w:asciiTheme="majorHAnsi" w:hAnsiTheme="majorHAnsi"/>
          <w:b/>
          <w:sz w:val="28"/>
          <w:szCs w:val="28"/>
          <w:u w:val="single"/>
        </w:rPr>
        <w:t xml:space="preserve"> the </w:t>
      </w:r>
      <w:r w:rsidR="00912431" w:rsidRPr="001245FC">
        <w:rPr>
          <w:rFonts w:asciiTheme="majorHAnsi" w:hAnsiTheme="majorHAnsi"/>
          <w:b/>
          <w:sz w:val="28"/>
          <w:szCs w:val="28"/>
          <w:u w:val="single"/>
        </w:rPr>
        <w:t>problems:</w:t>
      </w:r>
    </w:p>
    <w:p w:rsidR="00F817B3" w:rsidRPr="00F96254" w:rsidRDefault="00F817B3" w:rsidP="00F817B3">
      <w:pPr>
        <w:spacing w:line="360" w:lineRule="auto"/>
        <w:jc w:val="both"/>
      </w:pPr>
      <w:r w:rsidRPr="00A6274A">
        <w:t xml:space="preserve">The book value shows us what the shareholders' stake is worth </w:t>
      </w:r>
      <w:r>
        <w:t>in the firm or</w:t>
      </w:r>
      <w:r w:rsidRPr="00A6274A">
        <w:t xml:space="preserve"> </w:t>
      </w:r>
      <w:r>
        <w:t xml:space="preserve">it is the </w:t>
      </w:r>
      <w:r w:rsidRPr="00A6274A">
        <w:t>accounting value of the firm</w:t>
      </w:r>
      <w:r>
        <w:t>, i.e. t</w:t>
      </w:r>
      <w:r w:rsidRPr="00A6274A">
        <w:t xml:space="preserve">he per-share value of a stock based on the figures shown on a firm's balance sheet. </w:t>
      </w:r>
      <w:r>
        <w:t>On the other hand, th</w:t>
      </w:r>
      <w:r w:rsidRPr="00A6274A">
        <w:t>e market value of a company's share refers to the price that is quoted in a recognized stock exchange</w:t>
      </w:r>
      <w:r>
        <w:t xml:space="preserve"> (such as DSE in </w:t>
      </w:r>
      <w:smartTag w:uri="urn:schemas-microsoft-com:office:smarttags" w:element="country-region">
        <w:smartTag w:uri="urn:schemas-microsoft-com:office:smarttags" w:element="place">
          <w:r>
            <w:t>Bangladesh</w:t>
          </w:r>
        </w:smartTag>
      </w:smartTag>
      <w:r>
        <w:t>)</w:t>
      </w:r>
      <w:r w:rsidRPr="00A6274A">
        <w:t xml:space="preserve"> that deals with the shares of the company</w:t>
      </w:r>
      <w:r>
        <w:t>.</w:t>
      </w:r>
      <w:r w:rsidRPr="00A6274A">
        <w:t xml:space="preserve"> The market value is determined on the principle of `outlook', whereas book value is the result of `historical' analysis.</w:t>
      </w:r>
      <w:r>
        <w:t xml:space="preserve"> The corporation's bookkeeping or accounting records do not generally reflect the market value of assets and liabilities, and the trade value of the corporation's stock is subject to variations.The market price of</w:t>
      </w:r>
      <w:r w:rsidRPr="00A6274A">
        <w:t xml:space="preserve"> a publicly traded company is a better measure of the company value or net worth </w:t>
      </w:r>
      <w:r>
        <w:t>than the book value.</w:t>
      </w:r>
      <w:r w:rsidRPr="00A6274A">
        <w:t xml:space="preserve"> </w:t>
      </w:r>
      <w:r>
        <w:t>Market value is more accurate, scientific and reveals the current situation because it</w:t>
      </w:r>
      <w:r w:rsidRPr="00A6274A">
        <w:t xml:space="preserve"> is determined</w:t>
      </w:r>
      <w:r>
        <w:t xml:space="preserve"> by market supply and demand;</w:t>
      </w:r>
      <w:r w:rsidRPr="00A6274A">
        <w:t xml:space="preserve"> thus depends upon the expectations of buyers and sellers. The expectations of the company's future and recent performance, including potential growth; perceived risk, including risk due to high leverage and prospects for companies of this type, the market sector and also</w:t>
      </w:r>
      <w:r>
        <w:t xml:space="preserve"> </w:t>
      </w:r>
      <w:r w:rsidRPr="00A6274A">
        <w:t>certain other intangible factors broadly called the `market sentiment'</w:t>
      </w:r>
      <w:r>
        <w:t xml:space="preserve">. </w:t>
      </w:r>
      <w:r w:rsidRPr="00F96254">
        <w:rPr>
          <w:b/>
        </w:rPr>
        <w:t>The market value</w:t>
      </w:r>
      <w:r>
        <w:t xml:space="preserve"> or stock price per share of </w:t>
      </w:r>
      <w:r w:rsidR="00205171">
        <w:t xml:space="preserve">BANGAS </w:t>
      </w:r>
      <w:r>
        <w:t xml:space="preserve">Bangladesh Ltd. is </w:t>
      </w:r>
      <w:r w:rsidRPr="00F96254">
        <w:rPr>
          <w:b/>
        </w:rPr>
        <w:t xml:space="preserve">BDT </w:t>
      </w:r>
      <w:r>
        <w:rPr>
          <w:b/>
        </w:rPr>
        <w:t>1669</w:t>
      </w:r>
      <w:r>
        <w:t xml:space="preserve">, almost 10 times larger than the </w:t>
      </w:r>
      <w:r w:rsidRPr="00F96254">
        <w:rPr>
          <w:b/>
        </w:rPr>
        <w:t>book value</w:t>
      </w:r>
      <w:r>
        <w:t xml:space="preserve"> per share of </w:t>
      </w:r>
      <w:r w:rsidRPr="00F96254">
        <w:rPr>
          <w:b/>
        </w:rPr>
        <w:t>BDT</w:t>
      </w:r>
      <w:r>
        <w:t xml:space="preserve"> 164.8 as of </w:t>
      </w:r>
      <w:r w:rsidR="00805699">
        <w:t>June 30</w:t>
      </w:r>
      <w:r w:rsidR="00805699" w:rsidRPr="00805699">
        <w:rPr>
          <w:vertAlign w:val="superscript"/>
        </w:rPr>
        <w:t>th</w:t>
      </w:r>
      <w:r w:rsidR="00805699">
        <w:t>, 2009.</w:t>
      </w:r>
    </w:p>
    <w:p w:rsidR="00487762" w:rsidRPr="00726C06" w:rsidRDefault="00487762" w:rsidP="00487762">
      <w:pPr>
        <w:spacing w:line="360" w:lineRule="auto"/>
        <w:jc w:val="center"/>
        <w:rPr>
          <w:rFonts w:asciiTheme="majorHAnsi" w:hAnsiTheme="majorHAnsi"/>
          <w:b/>
          <w:sz w:val="24"/>
          <w:szCs w:val="24"/>
        </w:rPr>
      </w:pPr>
      <w:r w:rsidRPr="00726C06">
        <w:rPr>
          <w:rFonts w:asciiTheme="majorHAnsi" w:hAnsiTheme="majorHAnsi"/>
          <w:b/>
          <w:sz w:val="24"/>
          <w:szCs w:val="24"/>
        </w:rPr>
        <w:t>Market value &gt; Book value</w:t>
      </w:r>
    </w:p>
    <w:p w:rsidR="00487762" w:rsidRPr="00726C06" w:rsidRDefault="00487762" w:rsidP="00487762">
      <w:pPr>
        <w:spacing w:line="360" w:lineRule="auto"/>
        <w:jc w:val="both"/>
        <w:rPr>
          <w:rFonts w:asciiTheme="majorHAnsi" w:hAnsiTheme="majorHAnsi"/>
          <w:sz w:val="24"/>
          <w:szCs w:val="24"/>
        </w:rPr>
      </w:pPr>
      <w:r w:rsidRPr="00726C06">
        <w:rPr>
          <w:rFonts w:asciiTheme="majorHAnsi" w:hAnsiTheme="majorHAnsi"/>
          <w:sz w:val="24"/>
          <w:szCs w:val="24"/>
        </w:rPr>
        <w:t xml:space="preserve">So, Company is enjoying a healthy financial status. In our report we shall diagnose all the data and we shall established the reason behind the phenomenon. </w:t>
      </w:r>
    </w:p>
    <w:p w:rsidR="00B800E3" w:rsidRPr="00726C06" w:rsidRDefault="00487762" w:rsidP="007B2F40">
      <w:pPr>
        <w:spacing w:line="360" w:lineRule="auto"/>
        <w:jc w:val="both"/>
        <w:rPr>
          <w:rFonts w:asciiTheme="majorHAnsi" w:hAnsiTheme="majorHAnsi"/>
          <w:bCs/>
          <w:sz w:val="24"/>
          <w:szCs w:val="24"/>
        </w:rPr>
      </w:pPr>
      <w:r w:rsidRPr="00726C06">
        <w:rPr>
          <w:rFonts w:asciiTheme="majorHAnsi" w:hAnsiTheme="majorHAnsi"/>
          <w:sz w:val="24"/>
          <w:szCs w:val="24"/>
        </w:rPr>
        <w:t xml:space="preserve">We shall also look how </w:t>
      </w:r>
      <w:r w:rsidR="00907479" w:rsidRPr="00726C06">
        <w:rPr>
          <w:rFonts w:asciiTheme="majorHAnsi" w:hAnsiTheme="majorHAnsi"/>
          <w:sz w:val="24"/>
          <w:szCs w:val="24"/>
        </w:rPr>
        <w:t>Bangas</w:t>
      </w:r>
      <w:r w:rsidRPr="00726C06">
        <w:rPr>
          <w:rFonts w:asciiTheme="majorHAnsi" w:hAnsiTheme="majorHAnsi"/>
          <w:sz w:val="24"/>
          <w:szCs w:val="24"/>
        </w:rPr>
        <w:t xml:space="preserve"> Limited is managing the </w:t>
      </w:r>
      <w:r w:rsidRPr="00726C06">
        <w:rPr>
          <w:rFonts w:asciiTheme="majorHAnsi" w:hAnsiTheme="majorHAnsi"/>
          <w:bCs/>
          <w:sz w:val="24"/>
          <w:szCs w:val="24"/>
        </w:rPr>
        <w:t>Liquidity, Asset, Debt, and observe the implications on Profitability and Market Value.</w:t>
      </w:r>
    </w:p>
    <w:p w:rsidR="007B2F40" w:rsidRPr="00726C06" w:rsidRDefault="00D552EB" w:rsidP="00B16F07">
      <w:pPr>
        <w:keepNext/>
        <w:spacing w:line="360" w:lineRule="auto"/>
        <w:jc w:val="both"/>
        <w:rPr>
          <w:rFonts w:asciiTheme="majorHAnsi" w:hAnsiTheme="majorHAnsi"/>
          <w:sz w:val="24"/>
          <w:szCs w:val="24"/>
        </w:rPr>
      </w:pPr>
      <w:r w:rsidRPr="00D552EB">
        <w:rPr>
          <w:rFonts w:asciiTheme="majorHAnsi" w:hAnsiTheme="majorHAnsi"/>
          <w:noProof/>
          <w:sz w:val="24"/>
          <w:szCs w:val="24"/>
          <w:lang w:bidi="bn-BD"/>
        </w:rPr>
        <w:lastRenderedPageBreak/>
        <w:drawing>
          <wp:inline distT="0" distB="0" distL="0" distR="0">
            <wp:extent cx="5733415" cy="4201536"/>
            <wp:effectExtent l="19050" t="0" r="19685" b="8514"/>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7B2F40" w:rsidRPr="00726C06">
        <w:rPr>
          <w:rFonts w:asciiTheme="majorHAnsi" w:hAnsiTheme="majorHAnsi"/>
          <w:sz w:val="24"/>
          <w:szCs w:val="24"/>
        </w:rPr>
        <w:t xml:space="preserve">Figure </w:t>
      </w:r>
      <w:r w:rsidR="002A20DB" w:rsidRPr="00726C06">
        <w:rPr>
          <w:rFonts w:asciiTheme="majorHAnsi" w:hAnsiTheme="majorHAnsi"/>
          <w:sz w:val="24"/>
          <w:szCs w:val="24"/>
        </w:rPr>
        <w:fldChar w:fldCharType="begin"/>
      </w:r>
      <w:r w:rsidR="007B2F40" w:rsidRPr="00726C06">
        <w:rPr>
          <w:rFonts w:asciiTheme="majorHAnsi" w:hAnsiTheme="majorHAnsi"/>
          <w:sz w:val="24"/>
          <w:szCs w:val="24"/>
        </w:rPr>
        <w:instrText xml:space="preserve"> SEQ Figure \* ARABIC </w:instrText>
      </w:r>
      <w:r w:rsidR="002A20DB" w:rsidRPr="00726C06">
        <w:rPr>
          <w:rFonts w:asciiTheme="majorHAnsi" w:hAnsiTheme="majorHAnsi"/>
          <w:sz w:val="24"/>
          <w:szCs w:val="24"/>
        </w:rPr>
        <w:fldChar w:fldCharType="separate"/>
      </w:r>
      <w:r w:rsidR="007B2F40" w:rsidRPr="00726C06">
        <w:rPr>
          <w:rFonts w:asciiTheme="majorHAnsi" w:hAnsiTheme="majorHAnsi"/>
          <w:noProof/>
          <w:sz w:val="24"/>
          <w:szCs w:val="24"/>
        </w:rPr>
        <w:t>1</w:t>
      </w:r>
      <w:r w:rsidR="002A20DB" w:rsidRPr="00726C06">
        <w:rPr>
          <w:rFonts w:asciiTheme="majorHAnsi" w:hAnsiTheme="majorHAnsi"/>
          <w:sz w:val="24"/>
          <w:szCs w:val="24"/>
        </w:rPr>
        <w:fldChar w:fldCharType="end"/>
      </w:r>
      <w:r w:rsidR="007B2F40" w:rsidRPr="00726C06">
        <w:rPr>
          <w:rFonts w:asciiTheme="majorHAnsi" w:hAnsiTheme="majorHAnsi"/>
          <w:sz w:val="24"/>
          <w:szCs w:val="24"/>
        </w:rPr>
        <w:t>: Market to Book Value per share</w:t>
      </w:r>
    </w:p>
    <w:p w:rsidR="007B2F40" w:rsidRPr="00726C06" w:rsidRDefault="007B2F40" w:rsidP="007B2F40">
      <w:pPr>
        <w:spacing w:line="360" w:lineRule="auto"/>
        <w:jc w:val="both"/>
        <w:rPr>
          <w:rFonts w:asciiTheme="majorHAnsi" w:hAnsiTheme="majorHAnsi"/>
          <w:sz w:val="24"/>
          <w:szCs w:val="24"/>
        </w:rPr>
      </w:pPr>
    </w:p>
    <w:p w:rsidR="007B2F40" w:rsidRPr="00726C06" w:rsidRDefault="007B2F40" w:rsidP="007B2F40">
      <w:pPr>
        <w:spacing w:line="360" w:lineRule="auto"/>
        <w:jc w:val="both"/>
        <w:rPr>
          <w:rFonts w:asciiTheme="majorHAnsi" w:hAnsiTheme="majorHAnsi"/>
          <w:sz w:val="24"/>
          <w:szCs w:val="24"/>
        </w:rPr>
      </w:pPr>
      <w:r w:rsidRPr="00726C06">
        <w:rPr>
          <w:rFonts w:asciiTheme="majorHAnsi" w:hAnsiTheme="majorHAnsi"/>
          <w:sz w:val="24"/>
          <w:szCs w:val="24"/>
        </w:rPr>
        <w:t>The trend of book value is almost a linear line, where as Market value shows an interesting trend.</w:t>
      </w:r>
    </w:p>
    <w:p w:rsidR="007B2F40" w:rsidRPr="00726C06" w:rsidRDefault="007B2F40" w:rsidP="007B2F40">
      <w:pPr>
        <w:spacing w:line="360" w:lineRule="auto"/>
        <w:jc w:val="both"/>
        <w:rPr>
          <w:rFonts w:asciiTheme="majorHAnsi" w:hAnsiTheme="majorHAnsi"/>
          <w:sz w:val="24"/>
          <w:szCs w:val="24"/>
        </w:rPr>
      </w:pPr>
      <w:r w:rsidRPr="00726C06">
        <w:rPr>
          <w:rFonts w:asciiTheme="majorHAnsi" w:hAnsiTheme="majorHAnsi"/>
          <w:sz w:val="24"/>
          <w:szCs w:val="24"/>
        </w:rPr>
        <w:t>In Year 2004 Market value is more than 6 times higher than book value, but as the time goes difference between market value &amp; book value gradually becomes lower. It’s mainly due to lower confidence level among the investors, and the company lost its goodwill. But onward 2007 to 2009 market value has again in an increasing trend, mainly because of higher confidence among investor for its better financial performance. The better financial performance increases the goodwill of the company among the investors.</w:t>
      </w:r>
    </w:p>
    <w:p w:rsidR="008E7707" w:rsidRPr="00726C06" w:rsidRDefault="008E7707" w:rsidP="008E7707">
      <w:pPr>
        <w:rPr>
          <w:rFonts w:asciiTheme="majorHAnsi" w:hAnsiTheme="majorHAnsi"/>
          <w:b/>
          <w:sz w:val="24"/>
          <w:szCs w:val="24"/>
        </w:rPr>
      </w:pPr>
    </w:p>
    <w:p w:rsidR="00D552EB" w:rsidRDefault="00D552EB" w:rsidP="008E7707">
      <w:pPr>
        <w:rPr>
          <w:rFonts w:asciiTheme="majorHAnsi" w:hAnsiTheme="majorHAnsi"/>
          <w:b/>
          <w:sz w:val="24"/>
          <w:szCs w:val="24"/>
        </w:rPr>
      </w:pPr>
    </w:p>
    <w:p w:rsidR="00D552EB" w:rsidRDefault="00D552EB" w:rsidP="008E7707">
      <w:pPr>
        <w:rPr>
          <w:rFonts w:asciiTheme="majorHAnsi" w:hAnsiTheme="majorHAnsi"/>
          <w:b/>
          <w:sz w:val="24"/>
          <w:szCs w:val="24"/>
        </w:rPr>
      </w:pPr>
    </w:p>
    <w:p w:rsidR="00D552EB" w:rsidRDefault="00D552EB" w:rsidP="008E7707">
      <w:pPr>
        <w:rPr>
          <w:rFonts w:asciiTheme="majorHAnsi" w:hAnsiTheme="majorHAnsi"/>
          <w:b/>
          <w:sz w:val="24"/>
          <w:szCs w:val="24"/>
        </w:rPr>
      </w:pPr>
    </w:p>
    <w:p w:rsidR="008E7707" w:rsidRPr="001245FC" w:rsidRDefault="008E7707" w:rsidP="008E7707">
      <w:pPr>
        <w:rPr>
          <w:rFonts w:asciiTheme="majorHAnsi" w:hAnsiTheme="majorHAnsi"/>
          <w:b/>
          <w:sz w:val="28"/>
          <w:szCs w:val="28"/>
          <w:u w:val="single"/>
        </w:rPr>
      </w:pPr>
      <w:r w:rsidRPr="001245FC">
        <w:rPr>
          <w:rFonts w:asciiTheme="majorHAnsi" w:hAnsiTheme="majorHAnsi"/>
          <w:b/>
          <w:sz w:val="28"/>
          <w:szCs w:val="28"/>
          <w:u w:val="single"/>
        </w:rPr>
        <w:lastRenderedPageBreak/>
        <w:t>Methodology:</w:t>
      </w:r>
    </w:p>
    <w:p w:rsidR="008E7707" w:rsidRPr="00726C06" w:rsidRDefault="008E7707" w:rsidP="008E7707">
      <w:pPr>
        <w:spacing w:line="360" w:lineRule="auto"/>
        <w:jc w:val="both"/>
        <w:rPr>
          <w:rFonts w:asciiTheme="majorHAnsi" w:hAnsiTheme="majorHAnsi"/>
          <w:b/>
          <w:sz w:val="24"/>
          <w:szCs w:val="24"/>
        </w:rPr>
      </w:pPr>
      <w:r w:rsidRPr="00726C06">
        <w:rPr>
          <w:rFonts w:asciiTheme="majorHAnsi" w:hAnsiTheme="majorHAnsi"/>
          <w:b/>
          <w:sz w:val="24"/>
          <w:szCs w:val="24"/>
        </w:rPr>
        <w:t xml:space="preserve">a) Statistical Techniques: </w:t>
      </w:r>
      <w:r w:rsidRPr="00726C06">
        <w:rPr>
          <w:rFonts w:asciiTheme="majorHAnsi" w:hAnsiTheme="majorHAnsi"/>
          <w:sz w:val="24"/>
          <w:szCs w:val="24"/>
        </w:rPr>
        <w:t xml:space="preserve">For simplicity of understanding, we relied on column and line chart, as well as </w:t>
      </w:r>
      <w:r w:rsidR="00B81362" w:rsidRPr="00726C06">
        <w:rPr>
          <w:rFonts w:asciiTheme="majorHAnsi" w:hAnsiTheme="majorHAnsi"/>
          <w:sz w:val="24"/>
          <w:szCs w:val="24"/>
        </w:rPr>
        <w:t>stretched</w:t>
      </w:r>
      <w:r w:rsidRPr="00726C06">
        <w:rPr>
          <w:rFonts w:asciiTheme="majorHAnsi" w:hAnsiTheme="majorHAnsi"/>
          <w:sz w:val="24"/>
          <w:szCs w:val="24"/>
        </w:rPr>
        <w:t xml:space="preserve"> chart to some extent.</w:t>
      </w:r>
      <w:r w:rsidR="00D552EB">
        <w:rPr>
          <w:rFonts w:asciiTheme="majorHAnsi" w:hAnsiTheme="majorHAnsi"/>
          <w:sz w:val="24"/>
          <w:szCs w:val="24"/>
        </w:rPr>
        <w:t xml:space="preserve"> We have also done various regression analysis and covariance analysis to see various relations.</w:t>
      </w:r>
    </w:p>
    <w:p w:rsidR="008E7707" w:rsidRPr="00726C06" w:rsidRDefault="008E7707" w:rsidP="008E7707">
      <w:pPr>
        <w:spacing w:line="360" w:lineRule="auto"/>
        <w:jc w:val="both"/>
        <w:rPr>
          <w:rFonts w:asciiTheme="majorHAnsi" w:hAnsiTheme="majorHAnsi"/>
          <w:sz w:val="24"/>
          <w:szCs w:val="24"/>
        </w:rPr>
      </w:pPr>
      <w:r w:rsidRPr="00726C06">
        <w:rPr>
          <w:rFonts w:asciiTheme="majorHAnsi" w:hAnsiTheme="majorHAnsi"/>
          <w:sz w:val="24"/>
          <w:szCs w:val="24"/>
        </w:rPr>
        <w:t xml:space="preserve"> </w:t>
      </w:r>
      <w:r w:rsidRPr="00726C06">
        <w:rPr>
          <w:rFonts w:asciiTheme="majorHAnsi" w:hAnsiTheme="majorHAnsi"/>
          <w:b/>
          <w:sz w:val="24"/>
          <w:szCs w:val="24"/>
        </w:rPr>
        <w:t>b)</w:t>
      </w:r>
      <w:r w:rsidRPr="00726C06">
        <w:rPr>
          <w:rFonts w:asciiTheme="majorHAnsi" w:hAnsiTheme="majorHAnsi"/>
          <w:sz w:val="24"/>
          <w:szCs w:val="24"/>
        </w:rPr>
        <w:t xml:space="preserve"> </w:t>
      </w:r>
      <w:r w:rsidRPr="00726C06">
        <w:rPr>
          <w:rFonts w:asciiTheme="majorHAnsi" w:hAnsiTheme="majorHAnsi"/>
          <w:b/>
          <w:sz w:val="24"/>
          <w:szCs w:val="24"/>
        </w:rPr>
        <w:t xml:space="preserve">Nature of data: </w:t>
      </w:r>
      <w:r w:rsidRPr="00726C06">
        <w:rPr>
          <w:rFonts w:asciiTheme="majorHAnsi" w:hAnsiTheme="majorHAnsi"/>
          <w:sz w:val="24"/>
          <w:szCs w:val="24"/>
        </w:rPr>
        <w:t xml:space="preserve">We have used empirical data for our report. Those are secondary in nature. </w:t>
      </w:r>
    </w:p>
    <w:p w:rsidR="008E7707" w:rsidRPr="00726C06" w:rsidRDefault="008E7707" w:rsidP="008E7707">
      <w:pPr>
        <w:spacing w:line="360" w:lineRule="auto"/>
        <w:jc w:val="both"/>
        <w:rPr>
          <w:rFonts w:asciiTheme="majorHAnsi" w:hAnsiTheme="majorHAnsi"/>
          <w:sz w:val="24"/>
          <w:szCs w:val="24"/>
        </w:rPr>
      </w:pPr>
      <w:r w:rsidRPr="00726C06">
        <w:rPr>
          <w:rFonts w:asciiTheme="majorHAnsi" w:hAnsiTheme="majorHAnsi"/>
          <w:b/>
          <w:sz w:val="24"/>
          <w:szCs w:val="24"/>
        </w:rPr>
        <w:t>c)</w:t>
      </w:r>
      <w:r w:rsidRPr="00726C06">
        <w:rPr>
          <w:rFonts w:asciiTheme="majorHAnsi" w:hAnsiTheme="majorHAnsi"/>
          <w:sz w:val="24"/>
          <w:szCs w:val="24"/>
        </w:rPr>
        <w:t xml:space="preserve"> </w:t>
      </w:r>
      <w:r w:rsidRPr="00726C06">
        <w:rPr>
          <w:rFonts w:asciiTheme="majorHAnsi" w:hAnsiTheme="majorHAnsi"/>
          <w:b/>
          <w:sz w:val="24"/>
          <w:szCs w:val="24"/>
        </w:rPr>
        <w:t xml:space="preserve">Sources of data: </w:t>
      </w:r>
      <w:r w:rsidRPr="00726C06">
        <w:rPr>
          <w:rFonts w:asciiTheme="majorHAnsi" w:hAnsiTheme="majorHAnsi"/>
          <w:sz w:val="24"/>
          <w:szCs w:val="24"/>
        </w:rPr>
        <w:t>The sources of data are mainly from the annual reports of the company, which are necessary secondary sources. The secondary sources mainly include the last 5 years “Annual Reports” of both “Bangas Ltd” and “Olympic Ltd” which have been collected from their respective websites have mainly taken data from annual reports.</w:t>
      </w:r>
    </w:p>
    <w:p w:rsidR="008E7707" w:rsidRPr="00726C06" w:rsidRDefault="008E7707" w:rsidP="008E7707">
      <w:pPr>
        <w:spacing w:line="360" w:lineRule="auto"/>
        <w:jc w:val="both"/>
        <w:rPr>
          <w:rFonts w:asciiTheme="majorHAnsi" w:hAnsiTheme="majorHAnsi"/>
          <w:sz w:val="24"/>
          <w:szCs w:val="24"/>
        </w:rPr>
      </w:pPr>
      <w:r w:rsidRPr="00726C06">
        <w:rPr>
          <w:rFonts w:asciiTheme="majorHAnsi" w:hAnsiTheme="majorHAnsi"/>
          <w:b/>
          <w:sz w:val="24"/>
          <w:szCs w:val="24"/>
        </w:rPr>
        <w:t xml:space="preserve">e) Nature of analysis: </w:t>
      </w:r>
      <w:r w:rsidRPr="00726C06">
        <w:rPr>
          <w:rFonts w:asciiTheme="majorHAnsi" w:hAnsiTheme="majorHAnsi"/>
          <w:sz w:val="24"/>
          <w:szCs w:val="24"/>
        </w:rPr>
        <w:t>Our analysis, especially with the ratio part considered both time series and cross section. As well as cash flow analysis also has been done.</w:t>
      </w:r>
      <w:r w:rsidR="009248B9">
        <w:rPr>
          <w:rFonts w:asciiTheme="majorHAnsi" w:hAnsiTheme="majorHAnsi"/>
          <w:sz w:val="24"/>
          <w:szCs w:val="24"/>
        </w:rPr>
        <w:t xml:space="preserve"> moreover various analysis were done to find the relation between the stock price movement of Bangas and other factors.</w:t>
      </w:r>
    </w:p>
    <w:p w:rsidR="00726C06" w:rsidRPr="00726C06" w:rsidRDefault="008E7707" w:rsidP="008E7707">
      <w:pPr>
        <w:spacing w:line="360" w:lineRule="auto"/>
        <w:jc w:val="both"/>
        <w:rPr>
          <w:rFonts w:asciiTheme="majorHAnsi" w:hAnsiTheme="majorHAnsi"/>
          <w:sz w:val="24"/>
          <w:szCs w:val="24"/>
        </w:rPr>
      </w:pPr>
      <w:r w:rsidRPr="00726C06">
        <w:rPr>
          <w:rFonts w:asciiTheme="majorHAnsi" w:hAnsiTheme="majorHAnsi"/>
          <w:b/>
          <w:sz w:val="24"/>
          <w:szCs w:val="24"/>
        </w:rPr>
        <w:t xml:space="preserve">f) Standard of comparison: </w:t>
      </w:r>
      <w:r w:rsidRPr="00726C06">
        <w:rPr>
          <w:rFonts w:asciiTheme="majorHAnsi" w:hAnsiTheme="majorHAnsi"/>
          <w:sz w:val="24"/>
          <w:szCs w:val="24"/>
        </w:rPr>
        <w:t>We have chosen Olympic Ltd as our standard of comparison, another listed biscuit manufacturing Company of Bangladesh, because, it has almost similar product, and target customer base, and which is the only stock market listed   opponent of Bangas limited.</w:t>
      </w:r>
    </w:p>
    <w:p w:rsidR="00726C06" w:rsidRPr="00726C06" w:rsidRDefault="00726C06">
      <w:pPr>
        <w:rPr>
          <w:rFonts w:asciiTheme="majorHAnsi" w:hAnsiTheme="majorHAnsi"/>
          <w:sz w:val="24"/>
          <w:szCs w:val="24"/>
        </w:rPr>
      </w:pPr>
      <w:r w:rsidRPr="00726C06">
        <w:rPr>
          <w:rFonts w:asciiTheme="majorHAnsi" w:hAnsiTheme="majorHAnsi"/>
          <w:sz w:val="24"/>
          <w:szCs w:val="24"/>
        </w:rPr>
        <w:br w:type="page"/>
      </w:r>
    </w:p>
    <w:p w:rsidR="00726C06" w:rsidRPr="001245FC" w:rsidRDefault="00E47DAC" w:rsidP="00726C06">
      <w:pPr>
        <w:spacing w:line="360" w:lineRule="auto"/>
        <w:jc w:val="both"/>
        <w:rPr>
          <w:rFonts w:asciiTheme="majorHAnsi" w:hAnsiTheme="majorHAnsi"/>
          <w:b/>
          <w:bCs/>
          <w:sz w:val="32"/>
          <w:szCs w:val="32"/>
          <w:u w:val="single"/>
        </w:rPr>
      </w:pPr>
      <w:r w:rsidRPr="001245FC">
        <w:rPr>
          <w:rFonts w:asciiTheme="majorHAnsi" w:hAnsiTheme="majorHAnsi"/>
          <w:b/>
          <w:bCs/>
          <w:sz w:val="32"/>
          <w:szCs w:val="32"/>
          <w:u w:val="single"/>
        </w:rPr>
        <w:lastRenderedPageBreak/>
        <w:t>Limitation</w:t>
      </w:r>
    </w:p>
    <w:p w:rsidR="00726C06" w:rsidRPr="00726C06" w:rsidRDefault="00726C06" w:rsidP="00726C06">
      <w:pPr>
        <w:spacing w:before="100" w:beforeAutospacing="1" w:after="100" w:afterAutospacing="1" w:line="360" w:lineRule="auto"/>
        <w:jc w:val="both"/>
        <w:rPr>
          <w:rFonts w:asciiTheme="majorHAnsi" w:hAnsiTheme="majorHAnsi"/>
          <w:sz w:val="24"/>
          <w:szCs w:val="24"/>
        </w:rPr>
      </w:pPr>
      <w:r w:rsidRPr="00726C06">
        <w:rPr>
          <w:rFonts w:asciiTheme="majorHAnsi" w:hAnsiTheme="majorHAnsi"/>
          <w:sz w:val="24"/>
          <w:szCs w:val="24"/>
        </w:rPr>
        <w:t xml:space="preserve">Time was a very big constraint during the process of preparation of this report. As the report had been prepared over a time period of only two </w:t>
      </w:r>
      <w:r w:rsidR="00B250EF">
        <w:rPr>
          <w:rFonts w:asciiTheme="majorHAnsi" w:hAnsiTheme="majorHAnsi"/>
          <w:sz w:val="24"/>
          <w:szCs w:val="24"/>
        </w:rPr>
        <w:t>weeks</w:t>
      </w:r>
      <w:r w:rsidRPr="00726C06">
        <w:rPr>
          <w:rFonts w:asciiTheme="majorHAnsi" w:hAnsiTheme="majorHAnsi"/>
          <w:sz w:val="24"/>
          <w:szCs w:val="24"/>
        </w:rPr>
        <w:t>, time had to be budgeted and scheduled very calculative. There was very little time that could be used as lagging, in case something fell behind schedule.</w:t>
      </w:r>
    </w:p>
    <w:p w:rsidR="00726C06" w:rsidRPr="00726C06" w:rsidRDefault="00726C06" w:rsidP="00726C06">
      <w:pPr>
        <w:spacing w:before="100" w:beforeAutospacing="1" w:after="100" w:afterAutospacing="1" w:line="360" w:lineRule="auto"/>
        <w:jc w:val="both"/>
        <w:rPr>
          <w:rFonts w:asciiTheme="majorHAnsi" w:hAnsiTheme="majorHAnsi"/>
          <w:sz w:val="24"/>
          <w:szCs w:val="24"/>
        </w:rPr>
      </w:pPr>
      <w:r>
        <w:rPr>
          <w:rFonts w:asciiTheme="majorHAnsi" w:hAnsiTheme="majorHAnsi"/>
          <w:sz w:val="24"/>
          <w:szCs w:val="24"/>
        </w:rPr>
        <w:t>Adding up to that extent,</w:t>
      </w:r>
      <w:r w:rsidRPr="00726C06">
        <w:rPr>
          <w:rFonts w:asciiTheme="majorHAnsi" w:hAnsiTheme="majorHAnsi"/>
          <w:sz w:val="24"/>
          <w:szCs w:val="24"/>
        </w:rPr>
        <w:t xml:space="preserve"> the unavailability of all the annual financial reports of the company had been a bottle neck throughout the entire preparation of the report. Another matter of concern was that, the report considers data only from the last five financial years. This may not be sufficient to clearly show the reasons for the deviations in share prices along those years. A report with analysis of the last ten to fifteen year may have been more precise and accurate.</w:t>
      </w:r>
    </w:p>
    <w:p w:rsidR="007B2F40" w:rsidRPr="00726C06" w:rsidRDefault="00726C06" w:rsidP="00726C06">
      <w:pPr>
        <w:spacing w:line="360" w:lineRule="auto"/>
        <w:jc w:val="both"/>
        <w:rPr>
          <w:rFonts w:asciiTheme="majorHAnsi" w:hAnsiTheme="majorHAnsi"/>
          <w:sz w:val="24"/>
          <w:szCs w:val="24"/>
        </w:rPr>
      </w:pPr>
      <w:r w:rsidRPr="00726C06">
        <w:rPr>
          <w:rFonts w:asciiTheme="majorHAnsi" w:hAnsiTheme="majorHAnsi"/>
          <w:bCs/>
          <w:sz w:val="24"/>
          <w:szCs w:val="24"/>
        </w:rPr>
        <w:t>Moreover many companies practice ambiguous accounting practices to get rid of tax that dilute the actual scenario. Also sometimes, these companies try to make their performance much more lucrative to the Shareholders by means of unethical practice which are completely unnoticeable to general public. Such practice if had taken place might have diluted our findings which are based on the information available in the “Annual Reports”.</w:t>
      </w:r>
    </w:p>
    <w:p w:rsidR="00912431" w:rsidRPr="00726C06" w:rsidRDefault="00912431" w:rsidP="00912431">
      <w:pPr>
        <w:pStyle w:val="NormalWeb"/>
        <w:jc w:val="both"/>
        <w:rPr>
          <w:rFonts w:asciiTheme="majorHAnsi" w:hAnsiTheme="majorHAnsi"/>
        </w:rPr>
      </w:pPr>
    </w:p>
    <w:p w:rsidR="0031375D" w:rsidRDefault="0031375D" w:rsidP="00912431">
      <w:pPr>
        <w:rPr>
          <w:rFonts w:asciiTheme="majorHAnsi" w:hAnsiTheme="majorHAnsi"/>
          <w:sz w:val="24"/>
          <w:szCs w:val="24"/>
        </w:rPr>
      </w:pPr>
    </w:p>
    <w:p w:rsidR="0066531E" w:rsidRDefault="0066531E" w:rsidP="00912431">
      <w:pPr>
        <w:rPr>
          <w:rFonts w:asciiTheme="majorHAnsi" w:hAnsiTheme="majorHAnsi"/>
          <w:sz w:val="24"/>
          <w:szCs w:val="24"/>
        </w:rPr>
      </w:pPr>
    </w:p>
    <w:p w:rsidR="0066531E" w:rsidRDefault="0066531E" w:rsidP="00912431">
      <w:pPr>
        <w:rPr>
          <w:rFonts w:asciiTheme="majorHAnsi" w:hAnsiTheme="majorHAnsi"/>
          <w:sz w:val="24"/>
          <w:szCs w:val="24"/>
        </w:rPr>
      </w:pPr>
    </w:p>
    <w:p w:rsidR="0066531E" w:rsidRDefault="0066531E" w:rsidP="00912431">
      <w:pPr>
        <w:rPr>
          <w:rFonts w:asciiTheme="majorHAnsi" w:hAnsiTheme="majorHAnsi"/>
          <w:sz w:val="24"/>
          <w:szCs w:val="24"/>
        </w:rPr>
      </w:pPr>
    </w:p>
    <w:p w:rsidR="0066531E" w:rsidRDefault="0066531E" w:rsidP="00912431">
      <w:pPr>
        <w:rPr>
          <w:rFonts w:asciiTheme="majorHAnsi" w:hAnsiTheme="majorHAnsi"/>
          <w:sz w:val="24"/>
          <w:szCs w:val="24"/>
        </w:rPr>
      </w:pPr>
    </w:p>
    <w:p w:rsidR="0066531E" w:rsidRDefault="0066531E" w:rsidP="00912431">
      <w:pPr>
        <w:rPr>
          <w:rFonts w:asciiTheme="majorHAnsi" w:hAnsiTheme="majorHAnsi"/>
          <w:sz w:val="24"/>
          <w:szCs w:val="24"/>
        </w:rPr>
      </w:pPr>
    </w:p>
    <w:p w:rsidR="0066531E" w:rsidRDefault="0066531E" w:rsidP="00912431">
      <w:pPr>
        <w:rPr>
          <w:rFonts w:asciiTheme="majorHAnsi" w:hAnsiTheme="majorHAnsi"/>
          <w:sz w:val="24"/>
          <w:szCs w:val="24"/>
        </w:rPr>
      </w:pPr>
    </w:p>
    <w:p w:rsidR="0066531E" w:rsidRDefault="0066531E" w:rsidP="00912431">
      <w:pPr>
        <w:rPr>
          <w:rFonts w:asciiTheme="majorHAnsi" w:hAnsiTheme="majorHAnsi"/>
          <w:sz w:val="24"/>
          <w:szCs w:val="24"/>
        </w:rPr>
      </w:pPr>
    </w:p>
    <w:p w:rsidR="0066531E" w:rsidRDefault="0066531E" w:rsidP="00912431">
      <w:pPr>
        <w:rPr>
          <w:rFonts w:asciiTheme="majorHAnsi" w:hAnsiTheme="majorHAnsi"/>
          <w:sz w:val="24"/>
          <w:szCs w:val="24"/>
        </w:rPr>
      </w:pPr>
    </w:p>
    <w:p w:rsidR="0066531E" w:rsidRDefault="0066531E" w:rsidP="00912431">
      <w:pPr>
        <w:rPr>
          <w:rFonts w:asciiTheme="majorHAnsi" w:hAnsiTheme="majorHAnsi"/>
          <w:sz w:val="24"/>
          <w:szCs w:val="24"/>
        </w:rPr>
      </w:pPr>
    </w:p>
    <w:p w:rsidR="0066531E" w:rsidRPr="001245FC" w:rsidRDefault="0066531E" w:rsidP="001245FC">
      <w:pPr>
        <w:spacing w:line="360" w:lineRule="auto"/>
        <w:rPr>
          <w:rFonts w:ascii="Cambria" w:hAnsi="Cambria"/>
          <w:b/>
          <w:shadow/>
          <w:sz w:val="32"/>
          <w:szCs w:val="32"/>
        </w:rPr>
      </w:pPr>
      <w:r w:rsidRPr="001245FC">
        <w:rPr>
          <w:rFonts w:ascii="Cambria" w:hAnsi="Cambria"/>
          <w:b/>
          <w:shadow/>
          <w:sz w:val="32"/>
          <w:szCs w:val="32"/>
        </w:rPr>
        <w:t>Chapter 2</w:t>
      </w:r>
    </w:p>
    <w:p w:rsidR="0066531E" w:rsidRPr="001245FC" w:rsidRDefault="0066531E" w:rsidP="001245FC">
      <w:pPr>
        <w:spacing w:line="360" w:lineRule="auto"/>
        <w:rPr>
          <w:rFonts w:ascii="Cambria" w:hAnsi="Cambria"/>
          <w:b/>
          <w:shadow/>
          <w:sz w:val="32"/>
          <w:szCs w:val="32"/>
          <w:u w:val="single"/>
        </w:rPr>
      </w:pPr>
      <w:r w:rsidRPr="001245FC">
        <w:rPr>
          <w:rFonts w:ascii="Cambria" w:hAnsi="Cambria"/>
          <w:b/>
          <w:shadow/>
          <w:sz w:val="32"/>
          <w:szCs w:val="32"/>
          <w:u w:val="single"/>
        </w:rPr>
        <w:t>Analysis &amp; Interpretation</w:t>
      </w:r>
    </w:p>
    <w:p w:rsidR="0066531E" w:rsidRPr="00002D26" w:rsidRDefault="0066531E" w:rsidP="0066531E">
      <w:pPr>
        <w:spacing w:line="360" w:lineRule="auto"/>
        <w:jc w:val="both"/>
        <w:rPr>
          <w:rFonts w:ascii="Cambria" w:hAnsi="Cambria"/>
          <w:b/>
        </w:rPr>
      </w:pPr>
    </w:p>
    <w:p w:rsidR="0066531E" w:rsidRPr="001245FC" w:rsidRDefault="0066531E" w:rsidP="0066531E">
      <w:pPr>
        <w:spacing w:line="360" w:lineRule="auto"/>
        <w:jc w:val="both"/>
        <w:rPr>
          <w:rFonts w:ascii="Cambria" w:hAnsi="Cambria"/>
          <w:b/>
          <w:sz w:val="28"/>
          <w:szCs w:val="28"/>
          <w:u w:val="single"/>
        </w:rPr>
      </w:pPr>
      <w:r w:rsidRPr="001245FC">
        <w:rPr>
          <w:rFonts w:ascii="Cambria" w:hAnsi="Cambria"/>
          <w:b/>
          <w:sz w:val="28"/>
          <w:szCs w:val="28"/>
          <w:u w:val="single"/>
        </w:rPr>
        <w:t>Balance Sheet and Reconstructed Balance sheet</w:t>
      </w:r>
    </w:p>
    <w:p w:rsidR="0066531E" w:rsidRPr="00002D26" w:rsidRDefault="0066531E" w:rsidP="0066531E">
      <w:pPr>
        <w:spacing w:line="360" w:lineRule="auto"/>
        <w:jc w:val="both"/>
        <w:rPr>
          <w:rFonts w:ascii="Cambria" w:hAnsi="Cambria"/>
        </w:rPr>
      </w:pPr>
    </w:p>
    <w:p w:rsidR="0066531E" w:rsidRPr="00002D26" w:rsidRDefault="0066531E" w:rsidP="0066531E">
      <w:pPr>
        <w:spacing w:line="360" w:lineRule="auto"/>
        <w:jc w:val="both"/>
        <w:rPr>
          <w:rFonts w:ascii="Cambria" w:hAnsi="Cambria"/>
        </w:rPr>
      </w:pPr>
      <w:r w:rsidRPr="00002D26">
        <w:rPr>
          <w:rFonts w:ascii="Cambria" w:hAnsi="Cambria"/>
        </w:rPr>
        <w:t>When there is a difference between book value and market value, it indicates that there are some intangible assets and/or fair value of existing increase the equity. As a result market value differs from the book value considering these intangible issues.</w:t>
      </w:r>
    </w:p>
    <w:p w:rsidR="0066531E" w:rsidRPr="00002D26" w:rsidRDefault="0066531E" w:rsidP="0066531E">
      <w:pPr>
        <w:spacing w:line="360" w:lineRule="auto"/>
        <w:jc w:val="both"/>
        <w:rPr>
          <w:rFonts w:ascii="Cambria" w:hAnsi="Cambria"/>
        </w:rPr>
      </w:pPr>
      <w:r w:rsidRPr="00002D26">
        <w:rPr>
          <w:rFonts w:ascii="Cambria" w:hAnsi="Cambria"/>
        </w:rPr>
        <w:t>Market Price/share of Bangas was BDT 1665 in 28</w:t>
      </w:r>
      <w:r w:rsidRPr="00002D26">
        <w:rPr>
          <w:rFonts w:ascii="Cambria" w:hAnsi="Cambria"/>
          <w:vertAlign w:val="superscript"/>
        </w:rPr>
        <w:t>th</w:t>
      </w:r>
      <w:r w:rsidRPr="00002D26">
        <w:rPr>
          <w:rFonts w:ascii="Cambria" w:hAnsi="Cambria"/>
        </w:rPr>
        <w:t xml:space="preserve"> June’09; whereas the book value/share of the company was BDT 164.80. The market price was more than 10 times higher than their book value per share.</w:t>
      </w:r>
    </w:p>
    <w:p w:rsidR="0066531E" w:rsidRPr="00002D26" w:rsidRDefault="0066531E" w:rsidP="0066531E">
      <w:pPr>
        <w:spacing w:line="360" w:lineRule="auto"/>
        <w:jc w:val="both"/>
        <w:rPr>
          <w:rFonts w:ascii="Cambria" w:hAnsi="Cambria"/>
          <w:b/>
        </w:rPr>
      </w:pPr>
      <w:r w:rsidRPr="00002D26">
        <w:rPr>
          <w:rFonts w:ascii="Cambria" w:hAnsi="Cambria"/>
          <w:b/>
        </w:rPr>
        <w:t>Original &amp; Reconstructed Balance Sheet: 2009</w:t>
      </w:r>
    </w:p>
    <w:p w:rsidR="0066531E" w:rsidRPr="00A3666A" w:rsidRDefault="0066531E" w:rsidP="0066531E">
      <w:pPr>
        <w:pStyle w:val="Caption"/>
        <w:keepNext/>
        <w:jc w:val="both"/>
        <w:rPr>
          <w:rFonts w:ascii="Cambria" w:hAnsi="Cambria"/>
          <w:sz w:val="18"/>
          <w:szCs w:val="18"/>
        </w:rPr>
      </w:pPr>
      <w:r w:rsidRPr="00A3666A">
        <w:rPr>
          <w:rFonts w:ascii="Cambria" w:hAnsi="Cambria"/>
          <w:sz w:val="18"/>
          <w:szCs w:val="18"/>
        </w:rPr>
        <w:t xml:space="preserve">Table </w:t>
      </w:r>
      <w:r w:rsidR="002A20DB" w:rsidRPr="00A3666A">
        <w:rPr>
          <w:rFonts w:ascii="Cambria" w:hAnsi="Cambria"/>
          <w:sz w:val="18"/>
          <w:szCs w:val="18"/>
        </w:rPr>
        <w:fldChar w:fldCharType="begin"/>
      </w:r>
      <w:r w:rsidRPr="00A3666A">
        <w:rPr>
          <w:rFonts w:ascii="Cambria" w:hAnsi="Cambria"/>
          <w:sz w:val="18"/>
          <w:szCs w:val="18"/>
        </w:rPr>
        <w:instrText xml:space="preserve"> SEQ Table \* ARABIC </w:instrText>
      </w:r>
      <w:r w:rsidR="002A20DB" w:rsidRPr="00A3666A">
        <w:rPr>
          <w:rFonts w:ascii="Cambria" w:hAnsi="Cambria"/>
          <w:sz w:val="18"/>
          <w:szCs w:val="18"/>
        </w:rPr>
        <w:fldChar w:fldCharType="separate"/>
      </w:r>
      <w:r>
        <w:rPr>
          <w:rFonts w:ascii="Cambria" w:hAnsi="Cambria"/>
          <w:noProof/>
          <w:sz w:val="18"/>
          <w:szCs w:val="18"/>
        </w:rPr>
        <w:t>1</w:t>
      </w:r>
      <w:r w:rsidR="002A20DB" w:rsidRPr="00A3666A">
        <w:rPr>
          <w:rFonts w:ascii="Cambria" w:hAnsi="Cambria"/>
          <w:sz w:val="18"/>
          <w:szCs w:val="18"/>
        </w:rPr>
        <w:fldChar w:fldCharType="end"/>
      </w:r>
      <w:r w:rsidRPr="00A3666A">
        <w:rPr>
          <w:rFonts w:ascii="Cambria" w:hAnsi="Cambria"/>
          <w:sz w:val="18"/>
          <w:szCs w:val="18"/>
        </w:rPr>
        <w:t xml:space="preserve">: Original </w:t>
      </w:r>
      <w:r w:rsidRPr="00A3666A">
        <w:rPr>
          <w:rFonts w:ascii="Cambria" w:hAnsi="Cambria"/>
          <w:noProof/>
          <w:sz w:val="18"/>
          <w:szCs w:val="18"/>
        </w:rPr>
        <w:t>Balance sheet</w:t>
      </w:r>
      <w:r w:rsidR="000C6150">
        <w:rPr>
          <w:rFonts w:ascii="Cambria" w:hAnsi="Cambria"/>
          <w:noProof/>
          <w:sz w:val="18"/>
          <w:szCs w:val="18"/>
        </w:rPr>
        <w:t xml:space="preserve"> &amp; Reconstructed</w:t>
      </w:r>
    </w:p>
    <w:tbl>
      <w:tblPr>
        <w:tblStyle w:val="LightList-Accent6"/>
        <w:tblW w:w="9206" w:type="dxa"/>
        <w:tblLayout w:type="fixed"/>
        <w:tblLook w:val="0000"/>
      </w:tblPr>
      <w:tblGrid>
        <w:gridCol w:w="3075"/>
        <w:gridCol w:w="2430"/>
        <w:gridCol w:w="2077"/>
        <w:gridCol w:w="1624"/>
      </w:tblGrid>
      <w:tr w:rsidR="0066531E" w:rsidRPr="00002D26" w:rsidTr="001245FC">
        <w:trPr>
          <w:cnfStyle w:val="000000100000"/>
          <w:trHeight w:val="475"/>
        </w:trPr>
        <w:tc>
          <w:tcPr>
            <w:cnfStyle w:val="000010000000"/>
            <w:tcW w:w="3075" w:type="dxa"/>
          </w:tcPr>
          <w:p w:rsidR="0066531E" w:rsidRPr="00002D26" w:rsidRDefault="0066531E" w:rsidP="001245FC">
            <w:pPr>
              <w:rPr>
                <w:rFonts w:ascii="Cambria" w:hAnsi="Cambria"/>
              </w:rPr>
            </w:pPr>
          </w:p>
        </w:tc>
        <w:tc>
          <w:tcPr>
            <w:tcW w:w="2430" w:type="dxa"/>
          </w:tcPr>
          <w:p w:rsidR="0066531E" w:rsidRPr="00002D26" w:rsidRDefault="0066531E" w:rsidP="001245FC">
            <w:pPr>
              <w:jc w:val="center"/>
              <w:cnfStyle w:val="000000100000"/>
              <w:rPr>
                <w:rFonts w:ascii="Cambria" w:hAnsi="Cambria"/>
              </w:rPr>
            </w:pPr>
            <w:r w:rsidRPr="00002D26">
              <w:rPr>
                <w:rFonts w:ascii="Cambria" w:hAnsi="Cambria"/>
              </w:rPr>
              <w:t>Based on Book Value of Share</w:t>
            </w:r>
          </w:p>
        </w:tc>
        <w:tc>
          <w:tcPr>
            <w:cnfStyle w:val="000010000000"/>
            <w:tcW w:w="2077" w:type="dxa"/>
          </w:tcPr>
          <w:p w:rsidR="0066531E" w:rsidRPr="00002D26" w:rsidRDefault="0066531E" w:rsidP="001245FC">
            <w:pPr>
              <w:jc w:val="center"/>
              <w:rPr>
                <w:rFonts w:ascii="Cambria" w:hAnsi="Cambria"/>
              </w:rPr>
            </w:pPr>
            <w:r w:rsidRPr="00002D26">
              <w:rPr>
                <w:rFonts w:ascii="Cambria" w:hAnsi="Cambria"/>
              </w:rPr>
              <w:t>Based on Market Value of Share</w:t>
            </w:r>
          </w:p>
        </w:tc>
        <w:tc>
          <w:tcPr>
            <w:tcW w:w="1624" w:type="dxa"/>
          </w:tcPr>
          <w:p w:rsidR="0066531E" w:rsidRPr="00002D26" w:rsidRDefault="0066531E" w:rsidP="001245FC">
            <w:pPr>
              <w:jc w:val="center"/>
              <w:cnfStyle w:val="000000100000"/>
              <w:rPr>
                <w:rFonts w:ascii="Cambria" w:hAnsi="Cambria"/>
              </w:rPr>
            </w:pPr>
            <w:r w:rsidRPr="00002D26">
              <w:rPr>
                <w:rFonts w:ascii="Cambria" w:hAnsi="Cambria"/>
              </w:rPr>
              <w:t>Difference</w:t>
            </w:r>
          </w:p>
        </w:tc>
      </w:tr>
      <w:tr w:rsidR="0066531E" w:rsidRPr="006D0EF8" w:rsidTr="001245FC">
        <w:trPr>
          <w:trHeight w:val="261"/>
        </w:trPr>
        <w:tc>
          <w:tcPr>
            <w:cnfStyle w:val="000010000000"/>
            <w:tcW w:w="3075" w:type="dxa"/>
          </w:tcPr>
          <w:p w:rsidR="0066531E" w:rsidRPr="006D0EF8" w:rsidRDefault="0066531E" w:rsidP="001245FC">
            <w:pPr>
              <w:rPr>
                <w:rFonts w:ascii="Cambria" w:hAnsi="Cambria"/>
              </w:rPr>
            </w:pPr>
            <w:r w:rsidRPr="006D0EF8">
              <w:rPr>
                <w:rFonts w:ascii="Cambria" w:hAnsi="Cambria"/>
              </w:rPr>
              <w:t>Total Current Asset</w:t>
            </w:r>
          </w:p>
        </w:tc>
        <w:tc>
          <w:tcPr>
            <w:tcW w:w="2430" w:type="dxa"/>
          </w:tcPr>
          <w:p w:rsidR="0066531E" w:rsidRPr="006D0EF8" w:rsidRDefault="0066531E" w:rsidP="001245FC">
            <w:pPr>
              <w:jc w:val="right"/>
              <w:cnfStyle w:val="000000000000"/>
              <w:rPr>
                <w:rFonts w:ascii="Cambria" w:hAnsi="Cambria"/>
              </w:rPr>
            </w:pPr>
            <w:r w:rsidRPr="006D0EF8">
              <w:rPr>
                <w:rFonts w:ascii="Cambria" w:hAnsi="Cambria"/>
              </w:rPr>
              <w:t>55890736</w:t>
            </w:r>
          </w:p>
        </w:tc>
        <w:tc>
          <w:tcPr>
            <w:cnfStyle w:val="000010000000"/>
            <w:tcW w:w="2077" w:type="dxa"/>
          </w:tcPr>
          <w:p w:rsidR="0066531E" w:rsidRPr="006D0EF8" w:rsidRDefault="0066531E" w:rsidP="001245FC">
            <w:pPr>
              <w:jc w:val="right"/>
              <w:rPr>
                <w:rFonts w:ascii="Cambria" w:hAnsi="Cambria"/>
              </w:rPr>
            </w:pPr>
            <w:r w:rsidRPr="006D0EF8">
              <w:rPr>
                <w:rFonts w:ascii="Cambria" w:hAnsi="Cambria"/>
              </w:rPr>
              <w:t>55890736</w:t>
            </w:r>
          </w:p>
        </w:tc>
        <w:tc>
          <w:tcPr>
            <w:tcW w:w="1624" w:type="dxa"/>
          </w:tcPr>
          <w:p w:rsidR="0066531E" w:rsidRPr="006D0EF8" w:rsidRDefault="0066531E" w:rsidP="001245FC">
            <w:pPr>
              <w:jc w:val="right"/>
              <w:cnfStyle w:val="000000000000"/>
              <w:rPr>
                <w:rFonts w:ascii="Cambria" w:hAnsi="Cambria"/>
              </w:rPr>
            </w:pPr>
          </w:p>
        </w:tc>
      </w:tr>
      <w:tr w:rsidR="0066531E" w:rsidRPr="006D0EF8" w:rsidTr="001245FC">
        <w:trPr>
          <w:cnfStyle w:val="000000100000"/>
          <w:trHeight w:val="307"/>
        </w:trPr>
        <w:tc>
          <w:tcPr>
            <w:cnfStyle w:val="000010000000"/>
            <w:tcW w:w="3075" w:type="dxa"/>
          </w:tcPr>
          <w:p w:rsidR="0066531E" w:rsidRPr="006D0EF8" w:rsidRDefault="0066531E" w:rsidP="001245FC">
            <w:pPr>
              <w:rPr>
                <w:rFonts w:ascii="Cambria" w:hAnsi="Cambria"/>
              </w:rPr>
            </w:pPr>
            <w:r w:rsidRPr="006D0EF8">
              <w:rPr>
                <w:rFonts w:ascii="Cambria" w:hAnsi="Cambria"/>
              </w:rPr>
              <w:t>Total Fixed Asset</w:t>
            </w:r>
          </w:p>
        </w:tc>
        <w:tc>
          <w:tcPr>
            <w:tcW w:w="2430" w:type="dxa"/>
            <w:noWrap/>
          </w:tcPr>
          <w:p w:rsidR="0066531E" w:rsidRPr="006D0EF8" w:rsidRDefault="0066531E" w:rsidP="001245FC">
            <w:pPr>
              <w:jc w:val="right"/>
              <w:cnfStyle w:val="000000100000"/>
              <w:rPr>
                <w:rFonts w:ascii="Cambria" w:hAnsi="Cambria"/>
              </w:rPr>
            </w:pPr>
            <w:r w:rsidRPr="006D0EF8">
              <w:rPr>
                <w:rFonts w:ascii="Cambria" w:hAnsi="Cambria"/>
              </w:rPr>
              <w:t>28281860</w:t>
            </w:r>
          </w:p>
        </w:tc>
        <w:tc>
          <w:tcPr>
            <w:cnfStyle w:val="000010000000"/>
            <w:tcW w:w="2077" w:type="dxa"/>
          </w:tcPr>
          <w:p w:rsidR="0066531E" w:rsidRPr="006D0EF8" w:rsidRDefault="0066531E" w:rsidP="001245FC">
            <w:pPr>
              <w:jc w:val="right"/>
              <w:rPr>
                <w:rFonts w:ascii="Cambria" w:hAnsi="Cambria"/>
              </w:rPr>
            </w:pPr>
            <w:r w:rsidRPr="006D0EF8">
              <w:rPr>
                <w:rFonts w:ascii="Cambria" w:hAnsi="Cambria"/>
              </w:rPr>
              <w:t>40481860</w:t>
            </w:r>
          </w:p>
        </w:tc>
        <w:tc>
          <w:tcPr>
            <w:tcW w:w="1624" w:type="dxa"/>
          </w:tcPr>
          <w:p w:rsidR="0066531E" w:rsidRPr="006D0EF8" w:rsidRDefault="0066531E" w:rsidP="001245FC">
            <w:pPr>
              <w:jc w:val="right"/>
              <w:cnfStyle w:val="000000100000"/>
              <w:rPr>
                <w:rFonts w:ascii="Cambria" w:hAnsi="Cambria"/>
              </w:rPr>
            </w:pPr>
            <w:r w:rsidRPr="006D0EF8">
              <w:rPr>
                <w:rFonts w:ascii="Cambria" w:hAnsi="Cambria"/>
              </w:rPr>
              <w:t>12200000</w:t>
            </w:r>
          </w:p>
        </w:tc>
      </w:tr>
      <w:tr w:rsidR="0066531E" w:rsidRPr="00002D26" w:rsidTr="001245FC">
        <w:trPr>
          <w:trHeight w:val="307"/>
        </w:trPr>
        <w:tc>
          <w:tcPr>
            <w:cnfStyle w:val="000010000000"/>
            <w:tcW w:w="3075" w:type="dxa"/>
          </w:tcPr>
          <w:p w:rsidR="0066531E" w:rsidRPr="00002D26" w:rsidRDefault="0066531E" w:rsidP="001245FC">
            <w:pPr>
              <w:rPr>
                <w:rFonts w:ascii="Cambria" w:hAnsi="Cambria"/>
              </w:rPr>
            </w:pPr>
            <w:r w:rsidRPr="00002D26">
              <w:rPr>
                <w:rFonts w:ascii="Cambria" w:hAnsi="Cambria"/>
              </w:rPr>
              <w:t>Less: Depreciation</w:t>
            </w:r>
          </w:p>
        </w:tc>
        <w:tc>
          <w:tcPr>
            <w:tcW w:w="2430" w:type="dxa"/>
          </w:tcPr>
          <w:p w:rsidR="0066531E" w:rsidRPr="00002D26" w:rsidRDefault="0066531E" w:rsidP="001245FC">
            <w:pPr>
              <w:jc w:val="right"/>
              <w:cnfStyle w:val="000000000000"/>
              <w:rPr>
                <w:rFonts w:ascii="Cambria" w:hAnsi="Cambria"/>
              </w:rPr>
            </w:pPr>
            <w:r w:rsidRPr="00002D26">
              <w:rPr>
                <w:rFonts w:ascii="Cambria" w:hAnsi="Cambria"/>
              </w:rPr>
              <w:t>689180</w:t>
            </w:r>
          </w:p>
        </w:tc>
        <w:tc>
          <w:tcPr>
            <w:cnfStyle w:val="000010000000"/>
            <w:tcW w:w="2077" w:type="dxa"/>
          </w:tcPr>
          <w:p w:rsidR="0066531E" w:rsidRPr="00002D26" w:rsidRDefault="0066531E" w:rsidP="001245FC">
            <w:pPr>
              <w:jc w:val="right"/>
              <w:rPr>
                <w:rFonts w:ascii="Cambria" w:hAnsi="Cambria"/>
              </w:rPr>
            </w:pPr>
            <w:r w:rsidRPr="00002D26">
              <w:rPr>
                <w:rFonts w:ascii="Cambria" w:hAnsi="Cambria"/>
              </w:rPr>
              <w:t>689180</w:t>
            </w:r>
          </w:p>
        </w:tc>
        <w:tc>
          <w:tcPr>
            <w:tcW w:w="1624" w:type="dxa"/>
          </w:tcPr>
          <w:p w:rsidR="0066531E" w:rsidRPr="00002D26" w:rsidRDefault="0066531E" w:rsidP="001245FC">
            <w:pPr>
              <w:jc w:val="right"/>
              <w:cnfStyle w:val="000000000000"/>
              <w:rPr>
                <w:rFonts w:ascii="Cambria" w:hAnsi="Cambria"/>
              </w:rPr>
            </w:pPr>
          </w:p>
        </w:tc>
      </w:tr>
      <w:tr w:rsidR="0066531E" w:rsidRPr="00002D26" w:rsidTr="001245FC">
        <w:trPr>
          <w:cnfStyle w:val="000000100000"/>
          <w:trHeight w:val="307"/>
        </w:trPr>
        <w:tc>
          <w:tcPr>
            <w:cnfStyle w:val="000010000000"/>
            <w:tcW w:w="3075" w:type="dxa"/>
          </w:tcPr>
          <w:p w:rsidR="0066531E" w:rsidRPr="00002D26" w:rsidRDefault="0066531E" w:rsidP="001245FC">
            <w:pPr>
              <w:rPr>
                <w:rFonts w:ascii="Cambria" w:hAnsi="Cambria"/>
              </w:rPr>
            </w:pPr>
            <w:r w:rsidRPr="00002D26">
              <w:rPr>
                <w:rFonts w:ascii="Cambria" w:hAnsi="Cambria"/>
              </w:rPr>
              <w:t>Total Fixed(Net) Asset</w:t>
            </w:r>
          </w:p>
        </w:tc>
        <w:tc>
          <w:tcPr>
            <w:tcW w:w="2430" w:type="dxa"/>
          </w:tcPr>
          <w:p w:rsidR="0066531E" w:rsidRPr="00002D26" w:rsidRDefault="0066531E" w:rsidP="001245FC">
            <w:pPr>
              <w:jc w:val="right"/>
              <w:cnfStyle w:val="000000100000"/>
              <w:rPr>
                <w:rFonts w:ascii="Cambria" w:hAnsi="Cambria"/>
              </w:rPr>
            </w:pPr>
            <w:r w:rsidRPr="00002D26">
              <w:rPr>
                <w:rFonts w:ascii="Cambria" w:hAnsi="Cambria"/>
              </w:rPr>
              <w:t>27592680</w:t>
            </w:r>
          </w:p>
        </w:tc>
        <w:tc>
          <w:tcPr>
            <w:cnfStyle w:val="000010000000"/>
            <w:tcW w:w="2077" w:type="dxa"/>
          </w:tcPr>
          <w:p w:rsidR="0066531E" w:rsidRPr="00002D26" w:rsidRDefault="0066531E" w:rsidP="001245FC">
            <w:pPr>
              <w:jc w:val="right"/>
              <w:rPr>
                <w:rFonts w:ascii="Cambria" w:hAnsi="Cambria"/>
              </w:rPr>
            </w:pPr>
            <w:r w:rsidRPr="00002D26">
              <w:rPr>
                <w:rFonts w:ascii="Cambria" w:hAnsi="Cambria"/>
              </w:rPr>
              <w:t>39792680</w:t>
            </w:r>
          </w:p>
        </w:tc>
        <w:tc>
          <w:tcPr>
            <w:tcW w:w="1624" w:type="dxa"/>
          </w:tcPr>
          <w:p w:rsidR="0066531E" w:rsidRPr="00002D26" w:rsidRDefault="0066531E" w:rsidP="001245FC">
            <w:pPr>
              <w:jc w:val="right"/>
              <w:cnfStyle w:val="000000100000"/>
              <w:rPr>
                <w:rFonts w:ascii="Cambria" w:hAnsi="Cambria"/>
              </w:rPr>
            </w:pPr>
            <w:r w:rsidRPr="00002D26">
              <w:rPr>
                <w:rFonts w:ascii="Cambria" w:hAnsi="Cambria"/>
              </w:rPr>
              <w:t>12200000</w:t>
            </w:r>
          </w:p>
        </w:tc>
      </w:tr>
      <w:tr w:rsidR="0066531E" w:rsidRPr="00002D26" w:rsidTr="001245FC">
        <w:trPr>
          <w:trHeight w:val="323"/>
        </w:trPr>
        <w:tc>
          <w:tcPr>
            <w:cnfStyle w:val="000010000000"/>
            <w:tcW w:w="3075" w:type="dxa"/>
          </w:tcPr>
          <w:p w:rsidR="0066531E" w:rsidRPr="00002D26" w:rsidRDefault="0066531E" w:rsidP="001245FC">
            <w:pPr>
              <w:rPr>
                <w:rFonts w:ascii="Cambria" w:hAnsi="Cambria"/>
              </w:rPr>
            </w:pPr>
            <w:r w:rsidRPr="00002D26">
              <w:rPr>
                <w:rFonts w:ascii="Cambria" w:hAnsi="Cambria"/>
              </w:rPr>
              <w:t>Goodwill</w:t>
            </w:r>
          </w:p>
        </w:tc>
        <w:tc>
          <w:tcPr>
            <w:tcW w:w="2430" w:type="dxa"/>
          </w:tcPr>
          <w:p w:rsidR="0066531E" w:rsidRPr="00002D26" w:rsidRDefault="0066531E" w:rsidP="001245FC">
            <w:pPr>
              <w:jc w:val="right"/>
              <w:cnfStyle w:val="000000000000"/>
              <w:rPr>
                <w:rFonts w:ascii="Cambria" w:hAnsi="Cambria"/>
              </w:rPr>
            </w:pPr>
            <w:r w:rsidRPr="00002D26">
              <w:rPr>
                <w:rFonts w:ascii="Cambria" w:hAnsi="Cambria"/>
              </w:rPr>
              <w:t>---</w:t>
            </w:r>
          </w:p>
        </w:tc>
        <w:tc>
          <w:tcPr>
            <w:cnfStyle w:val="000010000000"/>
            <w:tcW w:w="2077" w:type="dxa"/>
          </w:tcPr>
          <w:p w:rsidR="0066531E" w:rsidRPr="00002D26" w:rsidRDefault="0066531E" w:rsidP="001245FC">
            <w:pPr>
              <w:jc w:val="right"/>
              <w:rPr>
                <w:rFonts w:ascii="Cambria" w:hAnsi="Cambria"/>
              </w:rPr>
            </w:pPr>
            <w:r w:rsidRPr="00002D26">
              <w:rPr>
                <w:rFonts w:ascii="Cambria" w:hAnsi="Cambria"/>
              </w:rPr>
              <w:t>122817819</w:t>
            </w:r>
          </w:p>
        </w:tc>
        <w:tc>
          <w:tcPr>
            <w:tcW w:w="1624" w:type="dxa"/>
          </w:tcPr>
          <w:p w:rsidR="0066531E" w:rsidRPr="00002D26" w:rsidRDefault="0066531E" w:rsidP="001245FC">
            <w:pPr>
              <w:jc w:val="right"/>
              <w:cnfStyle w:val="000000000000"/>
              <w:rPr>
                <w:rFonts w:ascii="Cambria" w:hAnsi="Cambria"/>
              </w:rPr>
            </w:pPr>
            <w:r w:rsidRPr="00002D26">
              <w:rPr>
                <w:rFonts w:ascii="Cambria" w:hAnsi="Cambria"/>
              </w:rPr>
              <w:t>122817819</w:t>
            </w:r>
          </w:p>
        </w:tc>
      </w:tr>
      <w:tr w:rsidR="0066531E" w:rsidRPr="00002D26" w:rsidTr="001245FC">
        <w:trPr>
          <w:cnfStyle w:val="000000100000"/>
          <w:trHeight w:val="323"/>
        </w:trPr>
        <w:tc>
          <w:tcPr>
            <w:cnfStyle w:val="000010000000"/>
            <w:tcW w:w="3075" w:type="dxa"/>
          </w:tcPr>
          <w:p w:rsidR="0066531E" w:rsidRPr="00002D26" w:rsidRDefault="0066531E" w:rsidP="001245FC">
            <w:pPr>
              <w:rPr>
                <w:rFonts w:ascii="Cambria" w:hAnsi="Cambria"/>
              </w:rPr>
            </w:pPr>
            <w:r w:rsidRPr="00002D26">
              <w:rPr>
                <w:rFonts w:ascii="Cambria" w:hAnsi="Cambria"/>
              </w:rPr>
              <w:t>Total Asset</w:t>
            </w:r>
          </w:p>
        </w:tc>
        <w:tc>
          <w:tcPr>
            <w:tcW w:w="2430" w:type="dxa"/>
          </w:tcPr>
          <w:p w:rsidR="0066531E" w:rsidRPr="00002D26" w:rsidRDefault="0066531E" w:rsidP="001245FC">
            <w:pPr>
              <w:jc w:val="right"/>
              <w:cnfStyle w:val="000000100000"/>
              <w:rPr>
                <w:rFonts w:ascii="Cambria" w:hAnsi="Cambria"/>
              </w:rPr>
            </w:pPr>
            <w:r w:rsidRPr="00002D26">
              <w:rPr>
                <w:rFonts w:ascii="Cambria" w:hAnsi="Cambria"/>
              </w:rPr>
              <w:t>83483416</w:t>
            </w:r>
          </w:p>
        </w:tc>
        <w:tc>
          <w:tcPr>
            <w:cnfStyle w:val="000010000000"/>
            <w:tcW w:w="2077" w:type="dxa"/>
          </w:tcPr>
          <w:p w:rsidR="0066531E" w:rsidRPr="00002D26" w:rsidRDefault="0066531E" w:rsidP="001245FC">
            <w:pPr>
              <w:jc w:val="right"/>
              <w:rPr>
                <w:rFonts w:ascii="Cambria" w:hAnsi="Cambria"/>
              </w:rPr>
            </w:pPr>
            <w:r w:rsidRPr="00002D26">
              <w:rPr>
                <w:rFonts w:ascii="Cambria" w:hAnsi="Cambria"/>
              </w:rPr>
              <w:t>218501235</w:t>
            </w:r>
          </w:p>
        </w:tc>
        <w:tc>
          <w:tcPr>
            <w:tcW w:w="1624" w:type="dxa"/>
          </w:tcPr>
          <w:p w:rsidR="0066531E" w:rsidRPr="00002D26" w:rsidRDefault="0066531E" w:rsidP="001245FC">
            <w:pPr>
              <w:jc w:val="right"/>
              <w:cnfStyle w:val="000000100000"/>
              <w:rPr>
                <w:rFonts w:ascii="Cambria" w:hAnsi="Cambria"/>
              </w:rPr>
            </w:pPr>
            <w:r w:rsidRPr="00002D26">
              <w:rPr>
                <w:rFonts w:ascii="Cambria" w:hAnsi="Cambria"/>
              </w:rPr>
              <w:t>135017819</w:t>
            </w:r>
          </w:p>
        </w:tc>
      </w:tr>
      <w:tr w:rsidR="0066531E" w:rsidRPr="00002D26" w:rsidTr="001245FC">
        <w:trPr>
          <w:trHeight w:val="307"/>
        </w:trPr>
        <w:tc>
          <w:tcPr>
            <w:cnfStyle w:val="000010000000"/>
            <w:tcW w:w="3075" w:type="dxa"/>
          </w:tcPr>
          <w:p w:rsidR="0066531E" w:rsidRPr="00002D26" w:rsidRDefault="0066531E" w:rsidP="001245FC">
            <w:pPr>
              <w:rPr>
                <w:rFonts w:ascii="Cambria" w:hAnsi="Cambria"/>
              </w:rPr>
            </w:pPr>
            <w:r w:rsidRPr="00002D26">
              <w:rPr>
                <w:rFonts w:ascii="Cambria" w:hAnsi="Cambria"/>
              </w:rPr>
              <w:t>Total Liabilities</w:t>
            </w:r>
          </w:p>
        </w:tc>
        <w:tc>
          <w:tcPr>
            <w:tcW w:w="2430" w:type="dxa"/>
            <w:noWrap/>
          </w:tcPr>
          <w:p w:rsidR="0066531E" w:rsidRPr="00002D26" w:rsidRDefault="0066531E" w:rsidP="001245FC">
            <w:pPr>
              <w:jc w:val="right"/>
              <w:cnfStyle w:val="000000000000"/>
              <w:rPr>
                <w:rFonts w:ascii="Cambria" w:hAnsi="Cambria"/>
              </w:rPr>
            </w:pPr>
            <w:r w:rsidRPr="00002D26">
              <w:rPr>
                <w:rFonts w:ascii="Cambria" w:hAnsi="Cambria"/>
              </w:rPr>
              <w:t>68651235</w:t>
            </w:r>
          </w:p>
        </w:tc>
        <w:tc>
          <w:tcPr>
            <w:cnfStyle w:val="000010000000"/>
            <w:tcW w:w="2077" w:type="dxa"/>
            <w:noWrap/>
          </w:tcPr>
          <w:p w:rsidR="0066531E" w:rsidRPr="00002D26" w:rsidRDefault="0066531E" w:rsidP="001245FC">
            <w:pPr>
              <w:jc w:val="right"/>
              <w:rPr>
                <w:rFonts w:ascii="Cambria" w:hAnsi="Cambria"/>
              </w:rPr>
            </w:pPr>
            <w:r w:rsidRPr="00002D26">
              <w:rPr>
                <w:rFonts w:ascii="Cambria" w:hAnsi="Cambria"/>
              </w:rPr>
              <w:t>68651235</w:t>
            </w:r>
          </w:p>
        </w:tc>
        <w:tc>
          <w:tcPr>
            <w:tcW w:w="1624" w:type="dxa"/>
            <w:noWrap/>
          </w:tcPr>
          <w:p w:rsidR="0066531E" w:rsidRPr="00002D26" w:rsidRDefault="0066531E" w:rsidP="001245FC">
            <w:pPr>
              <w:jc w:val="right"/>
              <w:cnfStyle w:val="000000000000"/>
              <w:rPr>
                <w:rFonts w:ascii="Cambria" w:hAnsi="Cambria"/>
              </w:rPr>
            </w:pPr>
          </w:p>
        </w:tc>
      </w:tr>
      <w:tr w:rsidR="0066531E" w:rsidRPr="00002D26" w:rsidTr="001245FC">
        <w:trPr>
          <w:cnfStyle w:val="000000100000"/>
          <w:trHeight w:val="323"/>
        </w:trPr>
        <w:tc>
          <w:tcPr>
            <w:cnfStyle w:val="000010000000"/>
            <w:tcW w:w="3075" w:type="dxa"/>
          </w:tcPr>
          <w:p w:rsidR="0066531E" w:rsidRPr="00002D26" w:rsidRDefault="0066531E" w:rsidP="001245FC">
            <w:pPr>
              <w:rPr>
                <w:rFonts w:ascii="Cambria" w:hAnsi="Cambria"/>
              </w:rPr>
            </w:pPr>
            <w:r w:rsidRPr="00002D26">
              <w:rPr>
                <w:rFonts w:ascii="Cambria" w:hAnsi="Cambria"/>
              </w:rPr>
              <w:t>Total Equity</w:t>
            </w:r>
          </w:p>
        </w:tc>
        <w:tc>
          <w:tcPr>
            <w:tcW w:w="2430" w:type="dxa"/>
            <w:noWrap/>
          </w:tcPr>
          <w:p w:rsidR="0066531E" w:rsidRPr="00002D26" w:rsidRDefault="0066531E" w:rsidP="001245FC">
            <w:pPr>
              <w:jc w:val="right"/>
              <w:cnfStyle w:val="000000100000"/>
              <w:rPr>
                <w:rFonts w:ascii="Cambria" w:hAnsi="Cambria"/>
              </w:rPr>
            </w:pPr>
            <w:r w:rsidRPr="00002D26">
              <w:rPr>
                <w:rFonts w:ascii="Cambria" w:hAnsi="Cambria"/>
              </w:rPr>
              <w:t>14832181</w:t>
            </w:r>
          </w:p>
        </w:tc>
        <w:tc>
          <w:tcPr>
            <w:cnfStyle w:val="000010000000"/>
            <w:tcW w:w="2077" w:type="dxa"/>
            <w:noWrap/>
          </w:tcPr>
          <w:p w:rsidR="0066531E" w:rsidRPr="00002D26" w:rsidRDefault="0066531E" w:rsidP="001245FC">
            <w:pPr>
              <w:jc w:val="right"/>
              <w:rPr>
                <w:rFonts w:ascii="Cambria" w:hAnsi="Cambria"/>
              </w:rPr>
            </w:pPr>
            <w:r w:rsidRPr="00002D26">
              <w:rPr>
                <w:rFonts w:ascii="Cambria" w:hAnsi="Cambria"/>
              </w:rPr>
              <w:t>149850000</w:t>
            </w:r>
          </w:p>
        </w:tc>
        <w:tc>
          <w:tcPr>
            <w:tcW w:w="1624" w:type="dxa"/>
            <w:noWrap/>
          </w:tcPr>
          <w:p w:rsidR="0066531E" w:rsidRPr="00002D26" w:rsidRDefault="0066531E" w:rsidP="001245FC">
            <w:pPr>
              <w:jc w:val="right"/>
              <w:cnfStyle w:val="000000100000"/>
              <w:rPr>
                <w:rFonts w:ascii="Cambria" w:hAnsi="Cambria"/>
              </w:rPr>
            </w:pPr>
            <w:r w:rsidRPr="00002D26">
              <w:rPr>
                <w:rFonts w:ascii="Cambria" w:hAnsi="Cambria"/>
              </w:rPr>
              <w:t>135017819</w:t>
            </w:r>
          </w:p>
        </w:tc>
      </w:tr>
      <w:tr w:rsidR="0066531E" w:rsidRPr="00002D26" w:rsidTr="001245FC">
        <w:trPr>
          <w:trHeight w:val="250"/>
        </w:trPr>
        <w:tc>
          <w:tcPr>
            <w:cnfStyle w:val="000010000000"/>
            <w:tcW w:w="3075" w:type="dxa"/>
          </w:tcPr>
          <w:p w:rsidR="0066531E" w:rsidRPr="00002D26" w:rsidRDefault="0066531E" w:rsidP="001245FC">
            <w:pPr>
              <w:rPr>
                <w:rFonts w:ascii="Cambria" w:hAnsi="Cambria"/>
              </w:rPr>
            </w:pPr>
            <w:r w:rsidRPr="00002D26">
              <w:rPr>
                <w:rFonts w:ascii="Cambria" w:hAnsi="Cambria"/>
              </w:rPr>
              <w:t>Total Liabilities and Equity</w:t>
            </w:r>
          </w:p>
        </w:tc>
        <w:tc>
          <w:tcPr>
            <w:tcW w:w="2430" w:type="dxa"/>
            <w:noWrap/>
          </w:tcPr>
          <w:p w:rsidR="0066531E" w:rsidRPr="00002D26" w:rsidRDefault="0066531E" w:rsidP="001245FC">
            <w:pPr>
              <w:jc w:val="right"/>
              <w:cnfStyle w:val="000000000000"/>
              <w:rPr>
                <w:rFonts w:ascii="Cambria" w:hAnsi="Cambria"/>
              </w:rPr>
            </w:pPr>
            <w:r w:rsidRPr="00002D26">
              <w:rPr>
                <w:rFonts w:ascii="Cambria" w:hAnsi="Cambria"/>
              </w:rPr>
              <w:t>83483416</w:t>
            </w:r>
          </w:p>
        </w:tc>
        <w:tc>
          <w:tcPr>
            <w:cnfStyle w:val="000010000000"/>
            <w:tcW w:w="2077" w:type="dxa"/>
            <w:noWrap/>
          </w:tcPr>
          <w:p w:rsidR="0066531E" w:rsidRPr="00002D26" w:rsidRDefault="0066531E" w:rsidP="001245FC">
            <w:pPr>
              <w:jc w:val="right"/>
              <w:rPr>
                <w:rFonts w:ascii="Cambria" w:hAnsi="Cambria"/>
              </w:rPr>
            </w:pPr>
            <w:r w:rsidRPr="00002D26">
              <w:rPr>
                <w:rFonts w:ascii="Cambria" w:hAnsi="Cambria"/>
              </w:rPr>
              <w:t>218501235</w:t>
            </w:r>
          </w:p>
        </w:tc>
        <w:tc>
          <w:tcPr>
            <w:tcW w:w="1624" w:type="dxa"/>
            <w:noWrap/>
          </w:tcPr>
          <w:p w:rsidR="0066531E" w:rsidRPr="00002D26" w:rsidRDefault="0066531E" w:rsidP="001245FC">
            <w:pPr>
              <w:keepNext/>
              <w:jc w:val="right"/>
              <w:cnfStyle w:val="000000000000"/>
              <w:rPr>
                <w:rFonts w:ascii="Cambria" w:hAnsi="Cambria"/>
              </w:rPr>
            </w:pPr>
            <w:r w:rsidRPr="00002D26">
              <w:rPr>
                <w:rFonts w:ascii="Cambria" w:hAnsi="Cambria"/>
              </w:rPr>
              <w:t>135017819</w:t>
            </w:r>
          </w:p>
        </w:tc>
      </w:tr>
    </w:tbl>
    <w:p w:rsidR="0066531E" w:rsidRPr="00002D26" w:rsidRDefault="0066531E" w:rsidP="0066531E">
      <w:pPr>
        <w:jc w:val="both"/>
        <w:rPr>
          <w:rFonts w:ascii="Cambria" w:hAnsi="Cambria"/>
          <w:b/>
        </w:rPr>
      </w:pPr>
    </w:p>
    <w:p w:rsidR="0066531E" w:rsidRDefault="0066531E" w:rsidP="0066531E">
      <w:pPr>
        <w:jc w:val="both"/>
        <w:rPr>
          <w:rFonts w:ascii="Cambria" w:hAnsi="Cambria"/>
          <w:b/>
        </w:rPr>
      </w:pPr>
    </w:p>
    <w:p w:rsidR="001245FC" w:rsidRDefault="001245FC" w:rsidP="0066531E">
      <w:pPr>
        <w:jc w:val="both"/>
        <w:rPr>
          <w:rFonts w:ascii="Cambria" w:hAnsi="Cambria"/>
          <w:b/>
        </w:rPr>
      </w:pPr>
    </w:p>
    <w:p w:rsidR="001245FC" w:rsidRDefault="001245FC" w:rsidP="0066531E">
      <w:pPr>
        <w:jc w:val="both"/>
        <w:rPr>
          <w:rFonts w:ascii="Cambria" w:hAnsi="Cambria"/>
          <w:b/>
        </w:rPr>
      </w:pPr>
    </w:p>
    <w:p w:rsidR="001245FC" w:rsidRDefault="001245FC" w:rsidP="0066531E">
      <w:pPr>
        <w:jc w:val="both"/>
        <w:rPr>
          <w:rFonts w:ascii="Cambria" w:hAnsi="Cambria"/>
          <w:b/>
        </w:rPr>
      </w:pPr>
    </w:p>
    <w:p w:rsidR="001245FC" w:rsidRDefault="001245FC" w:rsidP="0066531E">
      <w:pPr>
        <w:jc w:val="both"/>
        <w:rPr>
          <w:rFonts w:ascii="Cambria" w:hAnsi="Cambria"/>
          <w:b/>
        </w:rPr>
      </w:pPr>
    </w:p>
    <w:p w:rsidR="0066531E" w:rsidRPr="001245FC" w:rsidRDefault="0066531E" w:rsidP="0066531E">
      <w:pPr>
        <w:jc w:val="both"/>
        <w:rPr>
          <w:rFonts w:ascii="Cambria" w:hAnsi="Cambria"/>
          <w:b/>
          <w:sz w:val="28"/>
          <w:szCs w:val="28"/>
        </w:rPr>
      </w:pPr>
      <w:r w:rsidRPr="001245FC">
        <w:rPr>
          <w:rFonts w:ascii="Cambria" w:hAnsi="Cambria"/>
          <w:b/>
          <w:sz w:val="28"/>
          <w:szCs w:val="28"/>
        </w:rPr>
        <w:lastRenderedPageBreak/>
        <w:t>Calculation Process Year: 2009</w:t>
      </w:r>
    </w:p>
    <w:tbl>
      <w:tblPr>
        <w:tblStyle w:val="TableGrid"/>
        <w:tblW w:w="0" w:type="auto"/>
        <w:tblLook w:val="01E0"/>
      </w:tblPr>
      <w:tblGrid>
        <w:gridCol w:w="6228"/>
        <w:gridCol w:w="3017"/>
      </w:tblGrid>
      <w:tr w:rsidR="0066531E" w:rsidRPr="00002D26" w:rsidTr="00DF3CDC">
        <w:tc>
          <w:tcPr>
            <w:tcW w:w="6228" w:type="dxa"/>
          </w:tcPr>
          <w:p w:rsidR="0066531E" w:rsidRPr="00002D26" w:rsidRDefault="0066531E" w:rsidP="001245FC">
            <w:pPr>
              <w:spacing w:line="360" w:lineRule="auto"/>
              <w:jc w:val="both"/>
              <w:rPr>
                <w:rFonts w:ascii="Cambria" w:hAnsi="Cambria"/>
              </w:rPr>
            </w:pPr>
            <w:r w:rsidRPr="00002D26">
              <w:rPr>
                <w:rFonts w:ascii="Cambria" w:hAnsi="Cambria"/>
              </w:rPr>
              <w:t>No. of shares outstanding</w:t>
            </w:r>
          </w:p>
        </w:tc>
        <w:tc>
          <w:tcPr>
            <w:tcW w:w="3017" w:type="dxa"/>
          </w:tcPr>
          <w:p w:rsidR="0066531E" w:rsidRPr="00002D26" w:rsidRDefault="0066531E" w:rsidP="001245FC">
            <w:pPr>
              <w:spacing w:line="360" w:lineRule="auto"/>
              <w:jc w:val="right"/>
              <w:rPr>
                <w:rFonts w:ascii="Cambria" w:hAnsi="Cambria"/>
              </w:rPr>
            </w:pPr>
            <w:r w:rsidRPr="00002D26">
              <w:rPr>
                <w:rFonts w:ascii="Cambria" w:hAnsi="Cambria"/>
              </w:rPr>
              <w:t>90000</w:t>
            </w:r>
          </w:p>
        </w:tc>
      </w:tr>
      <w:tr w:rsidR="0066531E" w:rsidRPr="00002D26" w:rsidTr="00DF3CDC">
        <w:tc>
          <w:tcPr>
            <w:tcW w:w="6228" w:type="dxa"/>
          </w:tcPr>
          <w:p w:rsidR="0066531E" w:rsidRPr="00002D26" w:rsidRDefault="0066531E" w:rsidP="001245FC">
            <w:pPr>
              <w:spacing w:line="360" w:lineRule="auto"/>
              <w:jc w:val="both"/>
              <w:rPr>
                <w:rFonts w:ascii="Cambria" w:hAnsi="Cambria"/>
              </w:rPr>
            </w:pPr>
            <w:r w:rsidRPr="00002D26">
              <w:rPr>
                <w:rFonts w:ascii="Cambria" w:hAnsi="Cambria"/>
              </w:rPr>
              <w:t>Market Price</w:t>
            </w:r>
          </w:p>
        </w:tc>
        <w:tc>
          <w:tcPr>
            <w:tcW w:w="3017" w:type="dxa"/>
          </w:tcPr>
          <w:p w:rsidR="0066531E" w:rsidRPr="00002D26" w:rsidRDefault="0066531E" w:rsidP="001245FC">
            <w:pPr>
              <w:jc w:val="right"/>
              <w:rPr>
                <w:rFonts w:ascii="Cambria" w:hAnsi="Cambria" w:cs="Arial"/>
              </w:rPr>
            </w:pPr>
            <w:r w:rsidRPr="00002D26">
              <w:rPr>
                <w:rFonts w:ascii="Cambria" w:hAnsi="Cambria" w:cs="Arial"/>
              </w:rPr>
              <w:t>2,499</w:t>
            </w:r>
          </w:p>
        </w:tc>
      </w:tr>
      <w:tr w:rsidR="0066531E" w:rsidRPr="00002D26" w:rsidTr="00DF3CDC">
        <w:tc>
          <w:tcPr>
            <w:tcW w:w="6228" w:type="dxa"/>
          </w:tcPr>
          <w:p w:rsidR="0066531E" w:rsidRPr="00002D26" w:rsidRDefault="0066531E" w:rsidP="001245FC">
            <w:pPr>
              <w:spacing w:line="360" w:lineRule="auto"/>
              <w:jc w:val="both"/>
              <w:rPr>
                <w:rFonts w:ascii="Cambria" w:hAnsi="Cambria"/>
              </w:rPr>
            </w:pPr>
            <w:r w:rsidRPr="00002D26">
              <w:rPr>
                <w:rFonts w:ascii="Cambria" w:hAnsi="Cambria"/>
              </w:rPr>
              <w:t xml:space="preserve">Reconstructed Equity                                             </w:t>
            </w:r>
            <w:r w:rsidRPr="00002D26">
              <w:rPr>
                <w:rFonts w:ascii="Cambria" w:hAnsi="Cambria" w:cs="Arial"/>
              </w:rPr>
              <w:t>2,499*90000</w:t>
            </w:r>
          </w:p>
        </w:tc>
        <w:tc>
          <w:tcPr>
            <w:tcW w:w="3017" w:type="dxa"/>
          </w:tcPr>
          <w:p w:rsidR="0066531E" w:rsidRPr="00002D26" w:rsidRDefault="0066531E" w:rsidP="001245FC">
            <w:pPr>
              <w:spacing w:line="360" w:lineRule="auto"/>
              <w:jc w:val="right"/>
              <w:rPr>
                <w:rFonts w:ascii="Cambria" w:hAnsi="Cambria"/>
              </w:rPr>
            </w:pPr>
            <w:r w:rsidRPr="00002D26">
              <w:rPr>
                <w:rFonts w:ascii="Cambria" w:hAnsi="Cambria"/>
              </w:rPr>
              <w:t>224910000</w:t>
            </w:r>
          </w:p>
        </w:tc>
      </w:tr>
      <w:tr w:rsidR="0066531E" w:rsidRPr="00002D26" w:rsidTr="00DF3CDC">
        <w:tc>
          <w:tcPr>
            <w:tcW w:w="6228" w:type="dxa"/>
          </w:tcPr>
          <w:p w:rsidR="0066531E" w:rsidRPr="00002D26" w:rsidRDefault="0066531E" w:rsidP="001245FC">
            <w:pPr>
              <w:spacing w:line="360" w:lineRule="auto"/>
              <w:jc w:val="both"/>
              <w:rPr>
                <w:rFonts w:ascii="Cambria" w:hAnsi="Cambria"/>
              </w:rPr>
            </w:pPr>
            <w:r w:rsidRPr="00002D26">
              <w:rPr>
                <w:rFonts w:ascii="Cambria" w:hAnsi="Cambria"/>
              </w:rPr>
              <w:t>Fixed Asset Net</w:t>
            </w:r>
          </w:p>
        </w:tc>
        <w:tc>
          <w:tcPr>
            <w:tcW w:w="3017" w:type="dxa"/>
          </w:tcPr>
          <w:p w:rsidR="0066531E" w:rsidRPr="00002D26" w:rsidRDefault="0066531E" w:rsidP="001245FC">
            <w:pPr>
              <w:spacing w:line="360" w:lineRule="auto"/>
              <w:jc w:val="right"/>
              <w:rPr>
                <w:rFonts w:ascii="Cambria" w:hAnsi="Cambria"/>
              </w:rPr>
            </w:pPr>
            <w:r w:rsidRPr="00002D26">
              <w:rPr>
                <w:rFonts w:ascii="Cambria" w:hAnsi="Cambria"/>
              </w:rPr>
              <w:t>27592680</w:t>
            </w:r>
          </w:p>
        </w:tc>
      </w:tr>
      <w:tr w:rsidR="0066531E" w:rsidRPr="00002D26" w:rsidTr="00DF3CDC">
        <w:tc>
          <w:tcPr>
            <w:tcW w:w="6228" w:type="dxa"/>
          </w:tcPr>
          <w:p w:rsidR="0066531E" w:rsidRPr="00002D26" w:rsidRDefault="0066531E" w:rsidP="001245FC">
            <w:pPr>
              <w:spacing w:line="360" w:lineRule="auto"/>
              <w:jc w:val="both"/>
              <w:rPr>
                <w:rFonts w:ascii="Cambria" w:hAnsi="Cambria"/>
              </w:rPr>
            </w:pPr>
            <w:r w:rsidRPr="00002D26">
              <w:rPr>
                <w:rFonts w:ascii="Cambria" w:hAnsi="Cambria"/>
              </w:rPr>
              <w:t>Holding Land</w:t>
            </w:r>
          </w:p>
        </w:tc>
        <w:tc>
          <w:tcPr>
            <w:tcW w:w="3017" w:type="dxa"/>
          </w:tcPr>
          <w:p w:rsidR="0066531E" w:rsidRPr="00002D26" w:rsidRDefault="0066531E" w:rsidP="001245FC">
            <w:pPr>
              <w:spacing w:line="360" w:lineRule="auto"/>
              <w:jc w:val="right"/>
              <w:rPr>
                <w:rFonts w:ascii="Cambria" w:hAnsi="Cambria"/>
              </w:rPr>
            </w:pPr>
            <w:r w:rsidRPr="00002D26">
              <w:rPr>
                <w:rFonts w:ascii="Cambria" w:hAnsi="Cambria"/>
              </w:rPr>
              <w:t>633395</w:t>
            </w:r>
          </w:p>
        </w:tc>
      </w:tr>
      <w:tr w:rsidR="0066531E" w:rsidRPr="00002D26" w:rsidTr="00DF3CDC">
        <w:tc>
          <w:tcPr>
            <w:tcW w:w="6228" w:type="dxa"/>
          </w:tcPr>
          <w:p w:rsidR="0066531E" w:rsidRPr="00002D26" w:rsidRDefault="0066531E" w:rsidP="001245FC">
            <w:pPr>
              <w:spacing w:line="360" w:lineRule="auto"/>
              <w:jc w:val="both"/>
              <w:rPr>
                <w:rFonts w:ascii="Cambria" w:hAnsi="Cambria"/>
              </w:rPr>
            </w:pPr>
            <w:r w:rsidRPr="00002D26">
              <w:rPr>
                <w:rFonts w:ascii="Cambria" w:hAnsi="Cambria"/>
              </w:rPr>
              <w:t>After Appreciation of Land in 19 years the Land Price</w:t>
            </w:r>
          </w:p>
        </w:tc>
        <w:tc>
          <w:tcPr>
            <w:tcW w:w="3017" w:type="dxa"/>
          </w:tcPr>
          <w:p w:rsidR="0066531E" w:rsidRPr="00002D26" w:rsidRDefault="0066531E" w:rsidP="001245FC">
            <w:pPr>
              <w:spacing w:line="360" w:lineRule="auto"/>
              <w:jc w:val="right"/>
              <w:rPr>
                <w:rFonts w:ascii="Cambria" w:hAnsi="Cambria"/>
              </w:rPr>
            </w:pPr>
            <w:r w:rsidRPr="00002D26">
              <w:rPr>
                <w:rFonts w:ascii="Cambria" w:hAnsi="Cambria"/>
              </w:rPr>
              <w:t>12200000</w:t>
            </w:r>
          </w:p>
        </w:tc>
      </w:tr>
      <w:tr w:rsidR="0066531E" w:rsidRPr="00002D26" w:rsidTr="00DF3CDC">
        <w:tc>
          <w:tcPr>
            <w:tcW w:w="6228" w:type="dxa"/>
          </w:tcPr>
          <w:p w:rsidR="0066531E" w:rsidRPr="00002D26" w:rsidRDefault="0066531E" w:rsidP="001245FC">
            <w:pPr>
              <w:spacing w:line="360" w:lineRule="auto"/>
              <w:jc w:val="both"/>
              <w:rPr>
                <w:rFonts w:ascii="Cambria" w:hAnsi="Cambria"/>
              </w:rPr>
            </w:pPr>
            <w:r w:rsidRPr="00002D26">
              <w:rPr>
                <w:rFonts w:ascii="Cambria" w:hAnsi="Cambria"/>
              </w:rPr>
              <w:t>Reconstructed Net Fixed Asset</w:t>
            </w:r>
          </w:p>
        </w:tc>
        <w:tc>
          <w:tcPr>
            <w:tcW w:w="3017" w:type="dxa"/>
          </w:tcPr>
          <w:p w:rsidR="0066531E" w:rsidRPr="00002D26" w:rsidRDefault="0066531E" w:rsidP="001245FC">
            <w:pPr>
              <w:spacing w:line="360" w:lineRule="auto"/>
              <w:jc w:val="right"/>
              <w:rPr>
                <w:rFonts w:ascii="Cambria" w:hAnsi="Cambria"/>
              </w:rPr>
            </w:pPr>
            <w:r w:rsidRPr="00002D26">
              <w:rPr>
                <w:rFonts w:ascii="Cambria" w:hAnsi="Cambria"/>
              </w:rPr>
              <w:t>40426075</w:t>
            </w:r>
          </w:p>
        </w:tc>
      </w:tr>
      <w:tr w:rsidR="0066531E" w:rsidRPr="00002D26" w:rsidTr="00DF3CDC">
        <w:tc>
          <w:tcPr>
            <w:tcW w:w="6228" w:type="dxa"/>
          </w:tcPr>
          <w:p w:rsidR="0066531E" w:rsidRPr="00002D26" w:rsidRDefault="0066531E" w:rsidP="001245FC">
            <w:pPr>
              <w:spacing w:line="360" w:lineRule="auto"/>
              <w:jc w:val="both"/>
              <w:rPr>
                <w:rFonts w:ascii="Cambria" w:hAnsi="Cambria"/>
              </w:rPr>
            </w:pPr>
            <w:r w:rsidRPr="00002D26">
              <w:rPr>
                <w:rFonts w:ascii="Cambria" w:hAnsi="Cambria"/>
              </w:rPr>
              <w:t>Goodwill Value</w:t>
            </w:r>
          </w:p>
        </w:tc>
        <w:tc>
          <w:tcPr>
            <w:tcW w:w="3017" w:type="dxa"/>
          </w:tcPr>
          <w:p w:rsidR="0066531E" w:rsidRPr="00002D26" w:rsidRDefault="0066531E" w:rsidP="001245FC">
            <w:pPr>
              <w:spacing w:line="360" w:lineRule="auto"/>
              <w:jc w:val="right"/>
              <w:rPr>
                <w:rFonts w:ascii="Cambria" w:hAnsi="Cambria"/>
              </w:rPr>
            </w:pPr>
            <w:r w:rsidRPr="00002D26">
              <w:rPr>
                <w:rFonts w:ascii="Cambria" w:hAnsi="Cambria"/>
              </w:rPr>
              <w:t>184483925</w:t>
            </w:r>
          </w:p>
        </w:tc>
      </w:tr>
    </w:tbl>
    <w:p w:rsidR="0066531E" w:rsidRPr="00002D26" w:rsidRDefault="0066531E" w:rsidP="0066531E">
      <w:pPr>
        <w:spacing w:line="360" w:lineRule="auto"/>
        <w:jc w:val="both"/>
        <w:rPr>
          <w:rFonts w:ascii="Cambria" w:hAnsi="Cambria"/>
        </w:rPr>
      </w:pPr>
    </w:p>
    <w:p w:rsidR="0066531E" w:rsidRPr="00002D26" w:rsidRDefault="0066531E" w:rsidP="0066531E">
      <w:pPr>
        <w:spacing w:line="360" w:lineRule="auto"/>
        <w:jc w:val="both"/>
        <w:rPr>
          <w:rFonts w:ascii="Cambria" w:hAnsi="Cambria"/>
        </w:rPr>
      </w:pPr>
      <w:r w:rsidRPr="00002D26">
        <w:rPr>
          <w:rFonts w:ascii="Cambria" w:hAnsi="Cambria"/>
        </w:rPr>
        <w:t>The changes made in the reconstruction are, an increase value in tangible asset which is only of land (because no such other tangible assets were there to be appreciated) as well as introduction of ‘Goodwill’ as an intangible asset.</w:t>
      </w:r>
    </w:p>
    <w:p w:rsidR="0066531E" w:rsidRPr="00002D26" w:rsidRDefault="0066531E" w:rsidP="0066531E">
      <w:pPr>
        <w:spacing w:line="360" w:lineRule="auto"/>
        <w:jc w:val="both"/>
        <w:rPr>
          <w:rFonts w:ascii="Cambria" w:hAnsi="Cambria"/>
          <w:b/>
        </w:rPr>
      </w:pPr>
    </w:p>
    <w:p w:rsidR="0066531E" w:rsidRPr="00E44201" w:rsidRDefault="0066531E" w:rsidP="0066531E">
      <w:pPr>
        <w:spacing w:line="360" w:lineRule="auto"/>
        <w:jc w:val="both"/>
        <w:rPr>
          <w:rFonts w:ascii="Cambria" w:hAnsi="Cambria"/>
          <w:b/>
          <w:u w:val="single"/>
        </w:rPr>
      </w:pPr>
      <w:r w:rsidRPr="00E44201">
        <w:rPr>
          <w:rFonts w:ascii="Cambria" w:hAnsi="Cambria"/>
          <w:b/>
          <w:u w:val="single"/>
        </w:rPr>
        <w:t>Increase value of Tangible Assets (Land) in Reconstructed Balance Sheet:</w:t>
      </w:r>
    </w:p>
    <w:p w:rsidR="0066531E" w:rsidRPr="00002D26" w:rsidRDefault="0066531E" w:rsidP="0066531E">
      <w:pPr>
        <w:spacing w:line="360" w:lineRule="auto"/>
        <w:jc w:val="both"/>
        <w:rPr>
          <w:rFonts w:ascii="Cambria" w:hAnsi="Cambria"/>
          <w:b/>
        </w:rPr>
      </w:pPr>
    </w:p>
    <w:p w:rsidR="0066531E" w:rsidRPr="00002D26" w:rsidRDefault="0066531E" w:rsidP="0066531E">
      <w:pPr>
        <w:spacing w:line="360" w:lineRule="auto"/>
        <w:jc w:val="both"/>
        <w:rPr>
          <w:rFonts w:ascii="Cambria" w:hAnsi="Cambria"/>
        </w:rPr>
      </w:pPr>
      <w:r w:rsidRPr="00002D26">
        <w:rPr>
          <w:rFonts w:ascii="Cambria" w:hAnsi="Cambria"/>
        </w:rPr>
        <w:t xml:space="preserve">Bangas Ltd is in this business since year 1981, and the company owned some land for business operation. By the from the accounting method the financial reports are kept for historical value of this property and considered historical purchasing value as current asset value, which is obviously understated and the current resell value would be much higher than the reported one. Value of the tangible asset (Land) of the reconstructed balance sheet is increased by BDT 12200000 in the year 2009 considering the purchase at 1981. </w:t>
      </w:r>
    </w:p>
    <w:p w:rsidR="0066531E" w:rsidRPr="00002D26" w:rsidRDefault="0066531E" w:rsidP="0066531E">
      <w:pPr>
        <w:spacing w:line="360" w:lineRule="auto"/>
        <w:jc w:val="both"/>
        <w:rPr>
          <w:rFonts w:ascii="Cambria" w:hAnsi="Cambria"/>
        </w:rPr>
      </w:pPr>
    </w:p>
    <w:p w:rsidR="0066531E" w:rsidRPr="00002D26" w:rsidRDefault="0066531E" w:rsidP="0066531E">
      <w:pPr>
        <w:keepNext/>
        <w:spacing w:line="360" w:lineRule="auto"/>
        <w:jc w:val="both"/>
        <w:rPr>
          <w:rFonts w:ascii="Cambria" w:hAnsi="Cambria"/>
        </w:rPr>
      </w:pPr>
      <w:r>
        <w:rPr>
          <w:rFonts w:ascii="Cambria" w:hAnsi="Cambria"/>
          <w:noProof/>
          <w:lang w:bidi="bn-BD"/>
        </w:rPr>
        <w:lastRenderedPageBreak/>
        <w:drawing>
          <wp:inline distT="0" distB="0" distL="0" distR="0">
            <wp:extent cx="5735955" cy="2636520"/>
            <wp:effectExtent l="0" t="0" r="0" b="0"/>
            <wp:docPr id="3"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531E" w:rsidRPr="00A3666A" w:rsidRDefault="0066531E" w:rsidP="0066531E">
      <w:pPr>
        <w:pStyle w:val="Caption"/>
        <w:jc w:val="both"/>
        <w:rPr>
          <w:rFonts w:ascii="Cambria" w:hAnsi="Cambria"/>
          <w:sz w:val="18"/>
          <w:szCs w:val="18"/>
        </w:rPr>
      </w:pPr>
      <w:r w:rsidRPr="00A3666A">
        <w:rPr>
          <w:rFonts w:ascii="Cambria" w:hAnsi="Cambria"/>
          <w:sz w:val="18"/>
          <w:szCs w:val="18"/>
        </w:rPr>
        <w:t xml:space="preserve">Figure </w:t>
      </w:r>
      <w:r w:rsidR="002A20DB" w:rsidRPr="00A3666A">
        <w:rPr>
          <w:rFonts w:ascii="Cambria" w:hAnsi="Cambria"/>
          <w:sz w:val="18"/>
          <w:szCs w:val="18"/>
        </w:rPr>
        <w:fldChar w:fldCharType="begin"/>
      </w:r>
      <w:r w:rsidRPr="00A3666A">
        <w:rPr>
          <w:rFonts w:ascii="Cambria" w:hAnsi="Cambria"/>
          <w:sz w:val="18"/>
          <w:szCs w:val="18"/>
        </w:rPr>
        <w:instrText xml:space="preserve"> SEQ Figure \* ARABIC </w:instrText>
      </w:r>
      <w:r w:rsidR="002A20DB" w:rsidRPr="00A3666A">
        <w:rPr>
          <w:rFonts w:ascii="Cambria" w:hAnsi="Cambria"/>
          <w:sz w:val="18"/>
          <w:szCs w:val="18"/>
        </w:rPr>
        <w:fldChar w:fldCharType="separate"/>
      </w:r>
      <w:r>
        <w:rPr>
          <w:rFonts w:ascii="Cambria" w:hAnsi="Cambria"/>
          <w:noProof/>
          <w:sz w:val="18"/>
          <w:szCs w:val="18"/>
        </w:rPr>
        <w:t>2</w:t>
      </w:r>
      <w:r w:rsidR="002A20DB" w:rsidRPr="00A3666A">
        <w:rPr>
          <w:rFonts w:ascii="Cambria" w:hAnsi="Cambria"/>
          <w:sz w:val="18"/>
          <w:szCs w:val="18"/>
        </w:rPr>
        <w:fldChar w:fldCharType="end"/>
      </w:r>
      <w:r w:rsidRPr="00A3666A">
        <w:rPr>
          <w:rFonts w:ascii="Cambria" w:hAnsi="Cambria"/>
          <w:sz w:val="18"/>
          <w:szCs w:val="18"/>
        </w:rPr>
        <w:t>: Balance Sheet 2009 (Graphical)</w:t>
      </w:r>
    </w:p>
    <w:p w:rsidR="0066531E" w:rsidRPr="00002D26" w:rsidRDefault="0066531E" w:rsidP="0066531E">
      <w:pPr>
        <w:spacing w:line="360" w:lineRule="auto"/>
        <w:jc w:val="both"/>
        <w:rPr>
          <w:rFonts w:ascii="Cambria" w:hAnsi="Cambria"/>
        </w:rPr>
      </w:pPr>
    </w:p>
    <w:p w:rsidR="0066531E" w:rsidRPr="00002D26" w:rsidRDefault="0066531E" w:rsidP="0066531E">
      <w:pPr>
        <w:spacing w:line="360" w:lineRule="auto"/>
        <w:jc w:val="both"/>
        <w:rPr>
          <w:rFonts w:ascii="Cambria" w:hAnsi="Cambria"/>
          <w:b/>
        </w:rPr>
      </w:pPr>
      <w:r w:rsidRPr="00002D26">
        <w:rPr>
          <w:rFonts w:ascii="Cambria" w:hAnsi="Cambria"/>
          <w:b/>
        </w:rPr>
        <w:t>Introduction of Goodwill in Reconstructed Balance Sheet:</w:t>
      </w:r>
    </w:p>
    <w:p w:rsidR="0066531E" w:rsidRPr="00002D26" w:rsidRDefault="0066531E" w:rsidP="0066531E">
      <w:pPr>
        <w:spacing w:line="360" w:lineRule="auto"/>
        <w:jc w:val="both"/>
        <w:rPr>
          <w:rFonts w:ascii="Cambria" w:hAnsi="Cambria"/>
        </w:rPr>
      </w:pPr>
    </w:p>
    <w:p w:rsidR="0066531E" w:rsidRPr="00002D26" w:rsidRDefault="0066531E" w:rsidP="0066531E">
      <w:pPr>
        <w:spacing w:line="360" w:lineRule="auto"/>
        <w:jc w:val="both"/>
        <w:rPr>
          <w:rFonts w:ascii="Cambria" w:hAnsi="Cambria"/>
        </w:rPr>
      </w:pPr>
      <w:r w:rsidRPr="00002D26">
        <w:rPr>
          <w:rFonts w:ascii="Cambria" w:hAnsi="Cambria"/>
        </w:rPr>
        <w:t xml:space="preserve">The intangible asset of the reconstructed balance sheet is increased by BDT 184483925 in 2009 of goodwill. This is the main reason why book value per share of Bangas limited differs from Market Value. From the market price of the company considering years 2005 to 2009 we see that it fluctuates a lot as we see that the current asset decreases till 2007 and then again it increases. It seems the shareholders are happy with the </w:t>
      </w:r>
    </w:p>
    <w:p w:rsidR="0066531E" w:rsidRPr="00002D26" w:rsidRDefault="0066531E" w:rsidP="0066531E">
      <w:pPr>
        <w:spacing w:line="360" w:lineRule="auto"/>
        <w:jc w:val="both"/>
        <w:rPr>
          <w:rFonts w:ascii="Cambria" w:hAnsi="Cambria"/>
        </w:rPr>
      </w:pPr>
      <w:r w:rsidRPr="00002D26">
        <w:rPr>
          <w:rFonts w:ascii="Cambria" w:hAnsi="Cambria"/>
        </w:rPr>
        <w:t xml:space="preserve">Company’s performance, The Company has some positive information that has created higher confidence among investor, which leads to increase goodwill &amp; market price. Analyzing the Company’s all assets and liabilities we can say that the Company has instability though the goodwill increased as a whole. </w:t>
      </w:r>
    </w:p>
    <w:p w:rsidR="0066531E" w:rsidRPr="00002D26" w:rsidRDefault="0066531E" w:rsidP="0066531E">
      <w:pPr>
        <w:jc w:val="both"/>
        <w:rPr>
          <w:rFonts w:ascii="Cambria" w:hAnsi="Cambria"/>
        </w:rPr>
      </w:pPr>
      <w:r>
        <w:rPr>
          <w:rFonts w:ascii="Cambria" w:hAnsi="Cambria"/>
          <w:noProof/>
          <w:lang w:bidi="bn-BD"/>
        </w:rPr>
        <w:lastRenderedPageBreak/>
        <w:drawing>
          <wp:inline distT="0" distB="0" distL="0" distR="0">
            <wp:extent cx="5617210" cy="3277870"/>
            <wp:effectExtent l="0" t="0" r="0" b="0"/>
            <wp:docPr id="4"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531E" w:rsidRPr="00A3666A" w:rsidRDefault="0066531E" w:rsidP="0066531E">
      <w:pPr>
        <w:pStyle w:val="Caption"/>
        <w:tabs>
          <w:tab w:val="left" w:pos="1372"/>
        </w:tabs>
        <w:jc w:val="both"/>
        <w:rPr>
          <w:rFonts w:ascii="Cambria" w:hAnsi="Cambria"/>
          <w:sz w:val="18"/>
          <w:szCs w:val="18"/>
        </w:rPr>
      </w:pPr>
      <w:r w:rsidRPr="00A3666A">
        <w:rPr>
          <w:rFonts w:ascii="Cambria" w:hAnsi="Cambria"/>
          <w:sz w:val="18"/>
          <w:szCs w:val="18"/>
        </w:rPr>
        <w:t xml:space="preserve">Figure </w:t>
      </w:r>
      <w:r w:rsidR="002A20DB" w:rsidRPr="00A3666A">
        <w:rPr>
          <w:rFonts w:ascii="Cambria" w:hAnsi="Cambria"/>
          <w:sz w:val="18"/>
          <w:szCs w:val="18"/>
        </w:rPr>
        <w:fldChar w:fldCharType="begin"/>
      </w:r>
      <w:r w:rsidRPr="00A3666A">
        <w:rPr>
          <w:rFonts w:ascii="Cambria" w:hAnsi="Cambria"/>
          <w:sz w:val="18"/>
          <w:szCs w:val="18"/>
        </w:rPr>
        <w:instrText xml:space="preserve"> SEQ Figure \* ARABIC </w:instrText>
      </w:r>
      <w:r w:rsidR="002A20DB" w:rsidRPr="00A3666A">
        <w:rPr>
          <w:rFonts w:ascii="Cambria" w:hAnsi="Cambria"/>
          <w:sz w:val="18"/>
          <w:szCs w:val="18"/>
        </w:rPr>
        <w:fldChar w:fldCharType="separate"/>
      </w:r>
      <w:r>
        <w:rPr>
          <w:rFonts w:ascii="Cambria" w:hAnsi="Cambria"/>
          <w:noProof/>
          <w:sz w:val="18"/>
          <w:szCs w:val="18"/>
        </w:rPr>
        <w:t>3</w:t>
      </w:r>
      <w:r w:rsidR="002A20DB" w:rsidRPr="00A3666A">
        <w:rPr>
          <w:rFonts w:ascii="Cambria" w:hAnsi="Cambria"/>
          <w:sz w:val="18"/>
          <w:szCs w:val="18"/>
        </w:rPr>
        <w:fldChar w:fldCharType="end"/>
      </w:r>
      <w:r w:rsidRPr="00A3666A">
        <w:rPr>
          <w:rFonts w:ascii="Cambria" w:hAnsi="Cambria"/>
          <w:sz w:val="18"/>
          <w:szCs w:val="18"/>
        </w:rPr>
        <w:t>: Reconstructed Balance sheet for 2009</w:t>
      </w:r>
    </w:p>
    <w:p w:rsidR="0066531E" w:rsidRPr="00002D26" w:rsidRDefault="0066531E" w:rsidP="0066531E">
      <w:pPr>
        <w:jc w:val="both"/>
        <w:rPr>
          <w:rFonts w:ascii="Cambria" w:hAnsi="Cambria"/>
        </w:rPr>
      </w:pPr>
    </w:p>
    <w:p w:rsidR="0066531E" w:rsidRPr="00002D26" w:rsidRDefault="0066531E" w:rsidP="0066531E">
      <w:pPr>
        <w:jc w:val="both"/>
        <w:rPr>
          <w:rFonts w:ascii="Cambria" w:hAnsi="Cambria"/>
        </w:rPr>
      </w:pPr>
    </w:p>
    <w:p w:rsidR="0066531E" w:rsidRPr="00002D26" w:rsidRDefault="0066531E" w:rsidP="0066531E">
      <w:pPr>
        <w:spacing w:line="360" w:lineRule="auto"/>
        <w:jc w:val="both"/>
        <w:rPr>
          <w:rFonts w:ascii="Cambria" w:hAnsi="Cambria"/>
        </w:rPr>
      </w:pPr>
    </w:p>
    <w:p w:rsidR="0066531E" w:rsidRPr="00002D26" w:rsidRDefault="0066531E" w:rsidP="0066531E">
      <w:pPr>
        <w:spacing w:line="360" w:lineRule="auto"/>
        <w:jc w:val="both"/>
        <w:rPr>
          <w:rFonts w:ascii="Cambria" w:hAnsi="Cambria"/>
        </w:rPr>
      </w:pPr>
    </w:p>
    <w:p w:rsidR="0066531E" w:rsidRPr="00DF3CDC" w:rsidRDefault="0066531E" w:rsidP="0066531E">
      <w:pPr>
        <w:spacing w:line="360" w:lineRule="auto"/>
        <w:jc w:val="both"/>
        <w:rPr>
          <w:rFonts w:ascii="Cambria" w:hAnsi="Cambria"/>
          <w:b/>
          <w:sz w:val="28"/>
          <w:szCs w:val="28"/>
          <w:u w:val="single"/>
        </w:rPr>
      </w:pPr>
      <w:r w:rsidRPr="00002D26">
        <w:rPr>
          <w:rFonts w:ascii="Cambria" w:hAnsi="Cambria"/>
        </w:rPr>
        <w:br w:type="page"/>
      </w:r>
      <w:r w:rsidRPr="00DF3CDC">
        <w:rPr>
          <w:rFonts w:ascii="Cambria" w:hAnsi="Cambria"/>
          <w:b/>
          <w:sz w:val="28"/>
          <w:szCs w:val="28"/>
          <w:u w:val="single"/>
        </w:rPr>
        <w:lastRenderedPageBreak/>
        <w:t>Cash Flow Analysis</w:t>
      </w:r>
    </w:p>
    <w:tbl>
      <w:tblPr>
        <w:tblW w:w="8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1784"/>
      </w:tblGrid>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t>EBIT</w:t>
            </w:r>
          </w:p>
        </w:tc>
        <w:tc>
          <w:tcPr>
            <w:tcW w:w="1784" w:type="dxa"/>
            <w:shd w:val="clear" w:color="auto" w:fill="auto"/>
            <w:noWrap/>
            <w:vAlign w:val="bottom"/>
            <w:hideMark/>
          </w:tcPr>
          <w:p w:rsidR="0066531E" w:rsidRPr="000C6150" w:rsidRDefault="0066531E" w:rsidP="001245FC">
            <w:pPr>
              <w:jc w:val="right"/>
              <w:rPr>
                <w:rFonts w:asciiTheme="majorHAnsi" w:hAnsiTheme="majorHAnsi" w:cs="Arial"/>
                <w:sz w:val="20"/>
                <w:szCs w:val="20"/>
              </w:rPr>
            </w:pPr>
            <w:r w:rsidRPr="000C6150">
              <w:rPr>
                <w:rFonts w:asciiTheme="majorHAnsi" w:hAnsiTheme="majorHAnsi" w:cs="Arial"/>
                <w:sz w:val="20"/>
                <w:szCs w:val="20"/>
              </w:rPr>
              <w:t>3213961</w:t>
            </w: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t>Add: Depreciation</w:t>
            </w:r>
          </w:p>
        </w:tc>
        <w:tc>
          <w:tcPr>
            <w:tcW w:w="1784" w:type="dxa"/>
            <w:shd w:val="clear" w:color="auto" w:fill="auto"/>
            <w:noWrap/>
            <w:vAlign w:val="bottom"/>
            <w:hideMark/>
          </w:tcPr>
          <w:p w:rsidR="0066531E" w:rsidRPr="000C6150" w:rsidRDefault="0066531E" w:rsidP="001245FC">
            <w:pPr>
              <w:jc w:val="right"/>
              <w:rPr>
                <w:rFonts w:asciiTheme="majorHAnsi" w:hAnsiTheme="majorHAnsi" w:cs="Arial"/>
                <w:sz w:val="20"/>
                <w:szCs w:val="20"/>
              </w:rPr>
            </w:pPr>
            <w:r w:rsidRPr="000C6150">
              <w:rPr>
                <w:rFonts w:asciiTheme="majorHAnsi" w:hAnsiTheme="majorHAnsi" w:cs="Arial"/>
                <w:sz w:val="20"/>
                <w:szCs w:val="20"/>
              </w:rPr>
              <w:t>1077073</w:t>
            </w: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t>Less: Tax</w:t>
            </w:r>
          </w:p>
        </w:tc>
        <w:tc>
          <w:tcPr>
            <w:tcW w:w="1784" w:type="dxa"/>
            <w:shd w:val="clear" w:color="auto" w:fill="auto"/>
            <w:noWrap/>
            <w:vAlign w:val="bottom"/>
            <w:hideMark/>
          </w:tcPr>
          <w:p w:rsidR="0066531E" w:rsidRPr="000C6150" w:rsidRDefault="0066531E" w:rsidP="001245FC">
            <w:pPr>
              <w:jc w:val="right"/>
              <w:rPr>
                <w:rFonts w:asciiTheme="majorHAnsi" w:hAnsiTheme="majorHAnsi" w:cs="Arial"/>
                <w:sz w:val="20"/>
                <w:szCs w:val="20"/>
              </w:rPr>
            </w:pPr>
            <w:r w:rsidRPr="000C6150">
              <w:rPr>
                <w:rFonts w:asciiTheme="majorHAnsi" w:hAnsiTheme="majorHAnsi" w:cs="Arial"/>
                <w:sz w:val="20"/>
                <w:szCs w:val="20"/>
              </w:rPr>
              <w:t>907736</w:t>
            </w: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bCs/>
                <w:sz w:val="20"/>
                <w:szCs w:val="20"/>
              </w:rPr>
            </w:pPr>
            <w:r w:rsidRPr="000C6150">
              <w:rPr>
                <w:rFonts w:asciiTheme="majorHAnsi" w:hAnsiTheme="majorHAnsi" w:cs="Arial"/>
                <w:bCs/>
                <w:sz w:val="20"/>
                <w:szCs w:val="20"/>
              </w:rPr>
              <w:t>Operating Cash Flow (Source of Cash)</w:t>
            </w:r>
          </w:p>
        </w:tc>
        <w:tc>
          <w:tcPr>
            <w:tcW w:w="1784" w:type="dxa"/>
            <w:shd w:val="clear" w:color="auto" w:fill="auto"/>
            <w:noWrap/>
            <w:vAlign w:val="bottom"/>
            <w:hideMark/>
          </w:tcPr>
          <w:p w:rsidR="0066531E" w:rsidRPr="000C6150" w:rsidRDefault="0066531E" w:rsidP="001245FC">
            <w:pPr>
              <w:jc w:val="right"/>
              <w:rPr>
                <w:rFonts w:asciiTheme="majorHAnsi" w:hAnsiTheme="majorHAnsi" w:cs="Arial"/>
                <w:sz w:val="20"/>
                <w:szCs w:val="20"/>
              </w:rPr>
            </w:pPr>
            <w:r w:rsidRPr="000C6150">
              <w:rPr>
                <w:rFonts w:asciiTheme="majorHAnsi" w:hAnsiTheme="majorHAnsi" w:cs="Arial"/>
                <w:sz w:val="20"/>
                <w:szCs w:val="20"/>
              </w:rPr>
              <w:t>3383298</w:t>
            </w: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t>Capital Spending:</w:t>
            </w:r>
          </w:p>
        </w:tc>
        <w:tc>
          <w:tcPr>
            <w:tcW w:w="1784" w:type="dxa"/>
            <w:shd w:val="clear" w:color="auto" w:fill="auto"/>
            <w:noWrap/>
            <w:vAlign w:val="bottom"/>
            <w:hideMark/>
          </w:tcPr>
          <w:p w:rsidR="0066531E" w:rsidRPr="000C6150" w:rsidRDefault="0066531E" w:rsidP="001245FC">
            <w:pPr>
              <w:rPr>
                <w:rFonts w:asciiTheme="majorHAnsi" w:hAnsiTheme="majorHAnsi" w:cs="Arial"/>
                <w:sz w:val="20"/>
                <w:szCs w:val="20"/>
              </w:rPr>
            </w:pP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jc w:val="right"/>
              <w:rPr>
                <w:rFonts w:asciiTheme="majorHAnsi" w:hAnsiTheme="majorHAnsi" w:cs="Arial"/>
                <w:sz w:val="20"/>
                <w:szCs w:val="20"/>
              </w:rPr>
            </w:pPr>
            <w:r w:rsidRPr="000C6150">
              <w:rPr>
                <w:rFonts w:asciiTheme="majorHAnsi" w:hAnsiTheme="majorHAnsi" w:cs="Arial"/>
                <w:sz w:val="20"/>
                <w:szCs w:val="20"/>
              </w:rPr>
              <w:t>Ending Net Fixed Investment</w:t>
            </w:r>
          </w:p>
        </w:tc>
        <w:tc>
          <w:tcPr>
            <w:tcW w:w="1784" w:type="dxa"/>
            <w:shd w:val="clear" w:color="auto" w:fill="auto"/>
            <w:noWrap/>
            <w:vAlign w:val="bottom"/>
            <w:hideMark/>
          </w:tcPr>
          <w:p w:rsidR="0066531E" w:rsidRPr="000C6150" w:rsidRDefault="0066531E" w:rsidP="001245FC">
            <w:pPr>
              <w:jc w:val="right"/>
              <w:rPr>
                <w:rFonts w:asciiTheme="majorHAnsi" w:hAnsiTheme="majorHAnsi" w:cs="Arial"/>
                <w:sz w:val="20"/>
                <w:szCs w:val="20"/>
              </w:rPr>
            </w:pPr>
            <w:r w:rsidRPr="000C6150">
              <w:rPr>
                <w:rFonts w:asciiTheme="majorHAnsi" w:hAnsiTheme="majorHAnsi" w:cs="Arial"/>
                <w:sz w:val="20"/>
                <w:szCs w:val="20"/>
              </w:rPr>
              <w:t>27592680</w:t>
            </w: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jc w:val="right"/>
              <w:rPr>
                <w:rFonts w:asciiTheme="majorHAnsi" w:hAnsiTheme="majorHAnsi" w:cs="Arial"/>
                <w:sz w:val="20"/>
                <w:szCs w:val="20"/>
              </w:rPr>
            </w:pPr>
            <w:r w:rsidRPr="000C6150">
              <w:rPr>
                <w:rFonts w:asciiTheme="majorHAnsi" w:hAnsiTheme="majorHAnsi" w:cs="Arial"/>
                <w:sz w:val="20"/>
                <w:szCs w:val="20"/>
              </w:rPr>
              <w:t>Less : Beginning Fixed Investment</w:t>
            </w:r>
          </w:p>
        </w:tc>
        <w:tc>
          <w:tcPr>
            <w:tcW w:w="1784" w:type="dxa"/>
            <w:shd w:val="clear" w:color="auto" w:fill="auto"/>
            <w:noWrap/>
            <w:vAlign w:val="bottom"/>
            <w:hideMark/>
          </w:tcPr>
          <w:p w:rsidR="0066531E" w:rsidRPr="000C6150" w:rsidRDefault="0066531E" w:rsidP="001245FC">
            <w:pPr>
              <w:jc w:val="right"/>
              <w:rPr>
                <w:rFonts w:asciiTheme="majorHAnsi" w:hAnsiTheme="majorHAnsi" w:cs="Arial"/>
                <w:sz w:val="20"/>
                <w:szCs w:val="20"/>
              </w:rPr>
            </w:pPr>
            <w:r w:rsidRPr="000C6150">
              <w:rPr>
                <w:rFonts w:asciiTheme="majorHAnsi" w:hAnsiTheme="majorHAnsi" w:cs="Arial"/>
                <w:sz w:val="20"/>
                <w:szCs w:val="20"/>
              </w:rPr>
              <w:t>28665213</w:t>
            </w: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jc w:val="right"/>
              <w:rPr>
                <w:rFonts w:asciiTheme="majorHAnsi" w:hAnsiTheme="majorHAnsi" w:cs="Arial"/>
                <w:sz w:val="20"/>
                <w:szCs w:val="20"/>
              </w:rPr>
            </w:pPr>
            <w:r w:rsidRPr="000C6150">
              <w:rPr>
                <w:rFonts w:asciiTheme="majorHAnsi" w:hAnsiTheme="majorHAnsi" w:cs="Arial"/>
                <w:sz w:val="20"/>
                <w:szCs w:val="20"/>
              </w:rPr>
              <w:t>Add : Depreciation</w:t>
            </w:r>
          </w:p>
        </w:tc>
        <w:tc>
          <w:tcPr>
            <w:tcW w:w="1784" w:type="dxa"/>
            <w:shd w:val="clear" w:color="auto" w:fill="auto"/>
            <w:noWrap/>
            <w:vAlign w:val="bottom"/>
            <w:hideMark/>
          </w:tcPr>
          <w:p w:rsidR="0066531E" w:rsidRPr="000C6150" w:rsidRDefault="0066531E" w:rsidP="001245FC">
            <w:pPr>
              <w:jc w:val="right"/>
              <w:rPr>
                <w:rFonts w:asciiTheme="majorHAnsi" w:hAnsiTheme="majorHAnsi" w:cs="Arial"/>
                <w:sz w:val="20"/>
                <w:szCs w:val="20"/>
              </w:rPr>
            </w:pPr>
            <w:r w:rsidRPr="000C6150">
              <w:rPr>
                <w:rFonts w:asciiTheme="majorHAnsi" w:hAnsiTheme="majorHAnsi" w:cs="Arial"/>
                <w:sz w:val="20"/>
                <w:szCs w:val="20"/>
              </w:rPr>
              <w:t>1077073</w:t>
            </w: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t>Net Fixed Investment (Use of Cash)</w:t>
            </w:r>
          </w:p>
        </w:tc>
        <w:tc>
          <w:tcPr>
            <w:tcW w:w="1784" w:type="dxa"/>
            <w:shd w:val="clear" w:color="auto" w:fill="auto"/>
            <w:noWrap/>
            <w:vAlign w:val="bottom"/>
            <w:hideMark/>
          </w:tcPr>
          <w:p w:rsidR="0066531E" w:rsidRPr="000C6150" w:rsidRDefault="0066531E" w:rsidP="001245FC">
            <w:pPr>
              <w:jc w:val="right"/>
              <w:rPr>
                <w:rFonts w:asciiTheme="majorHAnsi" w:hAnsiTheme="majorHAnsi" w:cs="Arial"/>
                <w:sz w:val="20"/>
                <w:szCs w:val="20"/>
              </w:rPr>
            </w:pPr>
            <w:r w:rsidRPr="000C6150">
              <w:rPr>
                <w:rFonts w:asciiTheme="majorHAnsi" w:hAnsiTheme="majorHAnsi" w:cs="Arial"/>
                <w:sz w:val="20"/>
                <w:szCs w:val="20"/>
              </w:rPr>
              <w:t>4540</w:t>
            </w: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t>Changes in Net Working Capital:</w:t>
            </w:r>
          </w:p>
        </w:tc>
        <w:tc>
          <w:tcPr>
            <w:tcW w:w="1784" w:type="dxa"/>
            <w:shd w:val="clear" w:color="auto" w:fill="auto"/>
            <w:noWrap/>
            <w:vAlign w:val="bottom"/>
            <w:hideMark/>
          </w:tcPr>
          <w:p w:rsidR="0066531E" w:rsidRPr="000C6150" w:rsidRDefault="0066531E" w:rsidP="001245FC">
            <w:pPr>
              <w:rPr>
                <w:rFonts w:asciiTheme="majorHAnsi" w:hAnsiTheme="majorHAnsi" w:cs="Arial"/>
                <w:sz w:val="20"/>
                <w:szCs w:val="20"/>
              </w:rPr>
            </w:pP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t>Ending Net Working Capital</w:t>
            </w:r>
          </w:p>
        </w:tc>
        <w:tc>
          <w:tcPr>
            <w:tcW w:w="1784" w:type="dxa"/>
            <w:shd w:val="clear" w:color="auto" w:fill="auto"/>
            <w:noWrap/>
            <w:vAlign w:val="bottom"/>
            <w:hideMark/>
          </w:tcPr>
          <w:p w:rsidR="0066531E" w:rsidRPr="000C6150" w:rsidRDefault="000C6150" w:rsidP="001245FC">
            <w:pPr>
              <w:jc w:val="right"/>
              <w:rPr>
                <w:rFonts w:asciiTheme="majorHAnsi" w:hAnsiTheme="majorHAnsi" w:cs="Arial"/>
                <w:sz w:val="20"/>
                <w:szCs w:val="20"/>
              </w:rPr>
            </w:pPr>
            <w:r w:rsidRPr="000C6150">
              <w:rPr>
                <w:rFonts w:asciiTheme="majorHAnsi" w:hAnsiTheme="majorHAnsi" w:cs="Arial"/>
                <w:sz w:val="20"/>
                <w:szCs w:val="20"/>
              </w:rPr>
              <w:t>2223046</w:t>
            </w: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t>Less:Beginning Net Working Capital</w:t>
            </w:r>
          </w:p>
        </w:tc>
        <w:tc>
          <w:tcPr>
            <w:tcW w:w="1784" w:type="dxa"/>
            <w:shd w:val="clear" w:color="auto" w:fill="auto"/>
            <w:noWrap/>
            <w:vAlign w:val="bottom"/>
            <w:hideMark/>
          </w:tcPr>
          <w:p w:rsidR="0066531E" w:rsidRPr="000C6150" w:rsidRDefault="000C6150" w:rsidP="001245FC">
            <w:pPr>
              <w:jc w:val="right"/>
              <w:rPr>
                <w:rFonts w:asciiTheme="majorHAnsi" w:hAnsiTheme="majorHAnsi" w:cs="Arial"/>
                <w:sz w:val="20"/>
                <w:szCs w:val="20"/>
              </w:rPr>
            </w:pPr>
            <w:r w:rsidRPr="000C6150">
              <w:rPr>
                <w:rFonts w:asciiTheme="majorHAnsi" w:hAnsiTheme="majorHAnsi" w:cs="Arial"/>
                <w:sz w:val="20"/>
                <w:szCs w:val="20"/>
              </w:rPr>
              <w:t>2728316</w:t>
            </w: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t>Changes in Net Working Capital(Source of Cash)</w:t>
            </w:r>
          </w:p>
        </w:tc>
        <w:tc>
          <w:tcPr>
            <w:tcW w:w="1784" w:type="dxa"/>
            <w:shd w:val="clear" w:color="auto" w:fill="auto"/>
            <w:noWrap/>
            <w:vAlign w:val="bottom"/>
            <w:hideMark/>
          </w:tcPr>
          <w:p w:rsidR="0066531E" w:rsidRPr="000C6150" w:rsidRDefault="0066531E" w:rsidP="001245FC">
            <w:pPr>
              <w:jc w:val="right"/>
              <w:rPr>
                <w:rFonts w:asciiTheme="majorHAnsi" w:hAnsiTheme="majorHAnsi" w:cs="Arial"/>
                <w:sz w:val="20"/>
                <w:szCs w:val="20"/>
              </w:rPr>
            </w:pPr>
            <w:r w:rsidRPr="000C6150">
              <w:rPr>
                <w:rFonts w:asciiTheme="majorHAnsi" w:hAnsiTheme="majorHAnsi" w:cs="Arial"/>
                <w:sz w:val="20"/>
                <w:szCs w:val="20"/>
              </w:rPr>
              <w:t>-505270</w:t>
            </w: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p>
        </w:tc>
        <w:tc>
          <w:tcPr>
            <w:tcW w:w="1784" w:type="dxa"/>
            <w:shd w:val="clear" w:color="auto" w:fill="auto"/>
            <w:noWrap/>
            <w:vAlign w:val="bottom"/>
            <w:hideMark/>
          </w:tcPr>
          <w:p w:rsidR="0066531E" w:rsidRPr="000C6150" w:rsidRDefault="0066531E" w:rsidP="001245FC">
            <w:pPr>
              <w:rPr>
                <w:rFonts w:asciiTheme="majorHAnsi" w:hAnsiTheme="majorHAnsi" w:cs="Arial"/>
                <w:sz w:val="20"/>
                <w:szCs w:val="20"/>
              </w:rPr>
            </w:pP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t>Free Cash flow from Assets</w:t>
            </w:r>
          </w:p>
        </w:tc>
        <w:tc>
          <w:tcPr>
            <w:tcW w:w="1784" w:type="dxa"/>
            <w:shd w:val="clear" w:color="auto" w:fill="auto"/>
            <w:noWrap/>
            <w:vAlign w:val="bottom"/>
            <w:hideMark/>
          </w:tcPr>
          <w:p w:rsidR="0066531E" w:rsidRPr="000C6150" w:rsidRDefault="0066531E" w:rsidP="001245FC">
            <w:pPr>
              <w:rPr>
                <w:rFonts w:asciiTheme="majorHAnsi" w:hAnsiTheme="majorHAnsi" w:cs="Arial"/>
                <w:sz w:val="20"/>
                <w:szCs w:val="20"/>
              </w:rPr>
            </w:pP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t>Operating Cash Flow(Sources of Cash)</w:t>
            </w:r>
          </w:p>
        </w:tc>
        <w:tc>
          <w:tcPr>
            <w:tcW w:w="1784" w:type="dxa"/>
            <w:shd w:val="clear" w:color="auto" w:fill="auto"/>
            <w:noWrap/>
            <w:vAlign w:val="bottom"/>
            <w:hideMark/>
          </w:tcPr>
          <w:p w:rsidR="0066531E" w:rsidRPr="000C6150" w:rsidRDefault="0066531E" w:rsidP="001245FC">
            <w:pPr>
              <w:jc w:val="right"/>
              <w:rPr>
                <w:rFonts w:asciiTheme="majorHAnsi" w:hAnsiTheme="majorHAnsi" w:cs="Arial"/>
                <w:sz w:val="20"/>
                <w:szCs w:val="20"/>
              </w:rPr>
            </w:pPr>
            <w:r w:rsidRPr="000C6150">
              <w:rPr>
                <w:rFonts w:asciiTheme="majorHAnsi" w:hAnsiTheme="majorHAnsi" w:cs="Arial"/>
                <w:sz w:val="20"/>
                <w:szCs w:val="20"/>
              </w:rPr>
              <w:t>3213961</w:t>
            </w: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t>Net Fixed Investment (Use of Cash)</w:t>
            </w:r>
          </w:p>
        </w:tc>
        <w:tc>
          <w:tcPr>
            <w:tcW w:w="1784" w:type="dxa"/>
            <w:shd w:val="clear" w:color="auto" w:fill="auto"/>
            <w:noWrap/>
            <w:vAlign w:val="bottom"/>
            <w:hideMark/>
          </w:tcPr>
          <w:p w:rsidR="0066531E" w:rsidRPr="000C6150" w:rsidRDefault="0066531E" w:rsidP="001245FC">
            <w:pPr>
              <w:jc w:val="right"/>
              <w:rPr>
                <w:rFonts w:asciiTheme="majorHAnsi" w:hAnsiTheme="majorHAnsi" w:cs="Arial"/>
                <w:sz w:val="20"/>
                <w:szCs w:val="20"/>
              </w:rPr>
            </w:pPr>
            <w:r w:rsidRPr="000C6150">
              <w:rPr>
                <w:rFonts w:asciiTheme="majorHAnsi" w:hAnsiTheme="majorHAnsi" w:cs="Arial"/>
                <w:sz w:val="20"/>
                <w:szCs w:val="20"/>
              </w:rPr>
              <w:t>4540</w:t>
            </w: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t>Other Income(source of cash)</w:t>
            </w:r>
          </w:p>
        </w:tc>
        <w:tc>
          <w:tcPr>
            <w:tcW w:w="1784" w:type="dxa"/>
            <w:shd w:val="clear" w:color="auto" w:fill="auto"/>
            <w:noWrap/>
            <w:vAlign w:val="bottom"/>
            <w:hideMark/>
          </w:tcPr>
          <w:p w:rsidR="0066531E" w:rsidRPr="000C6150" w:rsidRDefault="0066531E" w:rsidP="001245FC">
            <w:pPr>
              <w:jc w:val="right"/>
              <w:rPr>
                <w:rFonts w:asciiTheme="majorHAnsi" w:hAnsiTheme="majorHAnsi" w:cs="Arial"/>
                <w:sz w:val="20"/>
                <w:szCs w:val="20"/>
              </w:rPr>
            </w:pPr>
            <w:r w:rsidRPr="000C6150">
              <w:rPr>
                <w:rFonts w:asciiTheme="majorHAnsi" w:hAnsiTheme="majorHAnsi" w:cs="Arial"/>
                <w:sz w:val="20"/>
                <w:szCs w:val="20"/>
              </w:rPr>
              <w:t>25700</w:t>
            </w: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t>Changes in Net Working Capital(Source of Cash)</w:t>
            </w:r>
          </w:p>
        </w:tc>
        <w:tc>
          <w:tcPr>
            <w:tcW w:w="1784" w:type="dxa"/>
            <w:shd w:val="clear" w:color="auto" w:fill="auto"/>
            <w:noWrap/>
            <w:vAlign w:val="bottom"/>
            <w:hideMark/>
          </w:tcPr>
          <w:p w:rsidR="0066531E" w:rsidRPr="000C6150" w:rsidRDefault="0066531E" w:rsidP="001245FC">
            <w:pPr>
              <w:jc w:val="right"/>
              <w:rPr>
                <w:rFonts w:asciiTheme="majorHAnsi" w:hAnsiTheme="majorHAnsi" w:cs="Arial"/>
                <w:sz w:val="20"/>
                <w:szCs w:val="20"/>
              </w:rPr>
            </w:pPr>
            <w:r w:rsidRPr="000C6150">
              <w:rPr>
                <w:rFonts w:asciiTheme="majorHAnsi" w:hAnsiTheme="majorHAnsi" w:cs="Arial"/>
                <w:sz w:val="20"/>
                <w:szCs w:val="20"/>
              </w:rPr>
              <w:t>505270</w:t>
            </w: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t>Free Cash Flow (Source)</w:t>
            </w:r>
          </w:p>
        </w:tc>
        <w:tc>
          <w:tcPr>
            <w:tcW w:w="1784" w:type="dxa"/>
            <w:shd w:val="clear" w:color="auto" w:fill="auto"/>
            <w:noWrap/>
            <w:vAlign w:val="bottom"/>
            <w:hideMark/>
          </w:tcPr>
          <w:p w:rsidR="0066531E" w:rsidRPr="000C6150" w:rsidRDefault="0066531E" w:rsidP="001245FC">
            <w:pPr>
              <w:jc w:val="right"/>
              <w:rPr>
                <w:rFonts w:asciiTheme="majorHAnsi" w:hAnsiTheme="majorHAnsi" w:cs="Arial"/>
                <w:sz w:val="20"/>
                <w:szCs w:val="20"/>
              </w:rPr>
            </w:pPr>
            <w:r w:rsidRPr="000C6150">
              <w:rPr>
                <w:rFonts w:asciiTheme="majorHAnsi" w:hAnsiTheme="majorHAnsi" w:cs="Arial"/>
                <w:sz w:val="20"/>
                <w:szCs w:val="20"/>
              </w:rPr>
              <w:t>3740391</w:t>
            </w: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p>
        </w:tc>
        <w:tc>
          <w:tcPr>
            <w:tcW w:w="1784" w:type="dxa"/>
            <w:shd w:val="clear" w:color="auto" w:fill="auto"/>
            <w:noWrap/>
            <w:vAlign w:val="bottom"/>
            <w:hideMark/>
          </w:tcPr>
          <w:p w:rsidR="0066531E" w:rsidRPr="000C6150" w:rsidRDefault="0066531E" w:rsidP="001245FC">
            <w:pPr>
              <w:rPr>
                <w:rFonts w:asciiTheme="majorHAnsi" w:hAnsiTheme="majorHAnsi" w:cs="Arial"/>
                <w:sz w:val="20"/>
                <w:szCs w:val="20"/>
              </w:rPr>
            </w:pP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t>Cash flow from/to Creditors</w:t>
            </w:r>
          </w:p>
        </w:tc>
        <w:tc>
          <w:tcPr>
            <w:tcW w:w="1784" w:type="dxa"/>
            <w:shd w:val="clear" w:color="auto" w:fill="auto"/>
            <w:noWrap/>
            <w:vAlign w:val="bottom"/>
            <w:hideMark/>
          </w:tcPr>
          <w:p w:rsidR="0066531E" w:rsidRPr="000C6150" w:rsidRDefault="0066531E" w:rsidP="001245FC">
            <w:pPr>
              <w:rPr>
                <w:rFonts w:asciiTheme="majorHAnsi" w:hAnsiTheme="majorHAnsi" w:cs="Arial"/>
                <w:sz w:val="20"/>
                <w:szCs w:val="20"/>
              </w:rPr>
            </w:pP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t>Interest Paid(uses)</w:t>
            </w:r>
          </w:p>
        </w:tc>
        <w:tc>
          <w:tcPr>
            <w:tcW w:w="1784" w:type="dxa"/>
            <w:shd w:val="clear" w:color="auto" w:fill="auto"/>
            <w:noWrap/>
            <w:vAlign w:val="bottom"/>
            <w:hideMark/>
          </w:tcPr>
          <w:p w:rsidR="0066531E" w:rsidRPr="000C6150" w:rsidRDefault="0066531E" w:rsidP="001245FC">
            <w:pPr>
              <w:jc w:val="right"/>
              <w:rPr>
                <w:rFonts w:asciiTheme="majorHAnsi" w:hAnsiTheme="majorHAnsi" w:cs="Arial"/>
                <w:sz w:val="20"/>
                <w:szCs w:val="20"/>
              </w:rPr>
            </w:pPr>
            <w:r w:rsidRPr="000C6150">
              <w:rPr>
                <w:rFonts w:asciiTheme="majorHAnsi" w:hAnsiTheme="majorHAnsi" w:cs="Arial"/>
                <w:sz w:val="20"/>
                <w:szCs w:val="20"/>
              </w:rPr>
              <w:t>630963</w:t>
            </w: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t>Net Long Term Borrowing(Use)</w:t>
            </w:r>
          </w:p>
        </w:tc>
        <w:tc>
          <w:tcPr>
            <w:tcW w:w="1784" w:type="dxa"/>
            <w:shd w:val="clear" w:color="auto" w:fill="auto"/>
            <w:noWrap/>
            <w:vAlign w:val="bottom"/>
            <w:hideMark/>
          </w:tcPr>
          <w:p w:rsidR="0066531E" w:rsidRPr="000C6150" w:rsidRDefault="0066531E" w:rsidP="001245FC">
            <w:pPr>
              <w:jc w:val="right"/>
              <w:rPr>
                <w:rFonts w:asciiTheme="majorHAnsi" w:hAnsiTheme="majorHAnsi" w:cs="Arial"/>
                <w:sz w:val="20"/>
                <w:szCs w:val="20"/>
              </w:rPr>
            </w:pPr>
            <w:r w:rsidRPr="000C6150">
              <w:rPr>
                <w:rFonts w:asciiTheme="majorHAnsi" w:hAnsiTheme="majorHAnsi" w:cs="Arial"/>
                <w:sz w:val="20"/>
                <w:szCs w:val="20"/>
              </w:rPr>
              <w:t>1759428</w:t>
            </w: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t>Cash Flow To Creditors(Use)</w:t>
            </w:r>
          </w:p>
        </w:tc>
        <w:tc>
          <w:tcPr>
            <w:tcW w:w="1784" w:type="dxa"/>
            <w:shd w:val="clear" w:color="auto" w:fill="auto"/>
            <w:noWrap/>
            <w:vAlign w:val="bottom"/>
            <w:hideMark/>
          </w:tcPr>
          <w:p w:rsidR="0066531E" w:rsidRPr="000C6150" w:rsidRDefault="0066531E" w:rsidP="001245FC">
            <w:pPr>
              <w:jc w:val="right"/>
              <w:rPr>
                <w:rFonts w:asciiTheme="majorHAnsi" w:hAnsiTheme="majorHAnsi" w:cs="Arial"/>
                <w:sz w:val="20"/>
                <w:szCs w:val="20"/>
              </w:rPr>
            </w:pPr>
            <w:r w:rsidRPr="000C6150">
              <w:rPr>
                <w:rFonts w:asciiTheme="majorHAnsi" w:hAnsiTheme="majorHAnsi" w:cs="Arial"/>
                <w:sz w:val="20"/>
                <w:szCs w:val="20"/>
              </w:rPr>
              <w:t>2390391</w:t>
            </w: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p>
        </w:tc>
        <w:tc>
          <w:tcPr>
            <w:tcW w:w="1784" w:type="dxa"/>
            <w:shd w:val="clear" w:color="auto" w:fill="auto"/>
            <w:noWrap/>
            <w:vAlign w:val="bottom"/>
            <w:hideMark/>
          </w:tcPr>
          <w:p w:rsidR="0066531E" w:rsidRPr="000C6150" w:rsidRDefault="0066531E" w:rsidP="001245FC">
            <w:pPr>
              <w:rPr>
                <w:rFonts w:asciiTheme="majorHAnsi" w:hAnsiTheme="majorHAnsi" w:cs="Arial"/>
                <w:sz w:val="20"/>
                <w:szCs w:val="20"/>
              </w:rPr>
            </w:pP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t>Cash Flow From Investors</w:t>
            </w:r>
          </w:p>
        </w:tc>
        <w:tc>
          <w:tcPr>
            <w:tcW w:w="1784" w:type="dxa"/>
            <w:shd w:val="clear" w:color="auto" w:fill="auto"/>
            <w:noWrap/>
            <w:vAlign w:val="bottom"/>
            <w:hideMark/>
          </w:tcPr>
          <w:p w:rsidR="0066531E" w:rsidRPr="000C6150" w:rsidRDefault="0066531E" w:rsidP="001245FC">
            <w:pPr>
              <w:rPr>
                <w:rFonts w:asciiTheme="majorHAnsi" w:hAnsiTheme="majorHAnsi" w:cs="Arial"/>
                <w:sz w:val="20"/>
                <w:szCs w:val="20"/>
              </w:rPr>
            </w:pP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t xml:space="preserve">Dividend Paid </w:t>
            </w:r>
          </w:p>
        </w:tc>
        <w:tc>
          <w:tcPr>
            <w:tcW w:w="1784" w:type="dxa"/>
            <w:shd w:val="clear" w:color="auto" w:fill="auto"/>
            <w:noWrap/>
            <w:vAlign w:val="bottom"/>
            <w:hideMark/>
          </w:tcPr>
          <w:p w:rsidR="0066531E" w:rsidRPr="000C6150" w:rsidRDefault="0066531E" w:rsidP="001245FC">
            <w:pPr>
              <w:jc w:val="right"/>
              <w:rPr>
                <w:rFonts w:asciiTheme="majorHAnsi" w:hAnsiTheme="majorHAnsi" w:cs="Arial"/>
                <w:sz w:val="20"/>
                <w:szCs w:val="20"/>
              </w:rPr>
            </w:pPr>
            <w:r w:rsidRPr="000C6150">
              <w:rPr>
                <w:rFonts w:asciiTheme="majorHAnsi" w:hAnsiTheme="majorHAnsi" w:cs="Arial"/>
                <w:sz w:val="20"/>
                <w:szCs w:val="20"/>
              </w:rPr>
              <w:t>1350000</w:t>
            </w: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lastRenderedPageBreak/>
              <w:t>New Equity</w:t>
            </w:r>
          </w:p>
        </w:tc>
        <w:tc>
          <w:tcPr>
            <w:tcW w:w="1784" w:type="dxa"/>
            <w:shd w:val="clear" w:color="auto" w:fill="auto"/>
            <w:noWrap/>
            <w:vAlign w:val="bottom"/>
            <w:hideMark/>
          </w:tcPr>
          <w:p w:rsidR="0066531E" w:rsidRPr="000C6150" w:rsidRDefault="0066531E" w:rsidP="001245FC">
            <w:pPr>
              <w:rPr>
                <w:rFonts w:asciiTheme="majorHAnsi" w:hAnsiTheme="majorHAnsi" w:cs="Arial"/>
                <w:sz w:val="20"/>
                <w:szCs w:val="20"/>
              </w:rPr>
            </w:pPr>
          </w:p>
        </w:tc>
      </w:tr>
      <w:tr w:rsidR="0066531E" w:rsidRPr="000C6150" w:rsidTr="001245FC">
        <w:trPr>
          <w:trHeight w:val="258"/>
        </w:trPr>
        <w:tc>
          <w:tcPr>
            <w:tcW w:w="7196" w:type="dxa"/>
            <w:shd w:val="clear" w:color="auto" w:fill="auto"/>
            <w:noWrap/>
            <w:vAlign w:val="bottom"/>
            <w:hideMark/>
          </w:tcPr>
          <w:p w:rsidR="0066531E" w:rsidRPr="000C6150" w:rsidRDefault="0066531E" w:rsidP="001245FC">
            <w:pPr>
              <w:rPr>
                <w:rFonts w:asciiTheme="majorHAnsi" w:hAnsiTheme="majorHAnsi" w:cs="Arial"/>
                <w:sz w:val="20"/>
                <w:szCs w:val="20"/>
              </w:rPr>
            </w:pPr>
            <w:r w:rsidRPr="000C6150">
              <w:rPr>
                <w:rFonts w:asciiTheme="majorHAnsi" w:hAnsiTheme="majorHAnsi" w:cs="Arial"/>
                <w:sz w:val="20"/>
                <w:szCs w:val="20"/>
              </w:rPr>
              <w:t>Cash Flow to investors(Use of Cash)</w:t>
            </w:r>
          </w:p>
        </w:tc>
        <w:tc>
          <w:tcPr>
            <w:tcW w:w="1784" w:type="dxa"/>
            <w:shd w:val="clear" w:color="auto" w:fill="auto"/>
            <w:noWrap/>
            <w:vAlign w:val="bottom"/>
            <w:hideMark/>
          </w:tcPr>
          <w:p w:rsidR="0066531E" w:rsidRPr="000C6150" w:rsidRDefault="0066531E" w:rsidP="001245FC">
            <w:pPr>
              <w:jc w:val="right"/>
              <w:rPr>
                <w:rFonts w:asciiTheme="majorHAnsi" w:hAnsiTheme="majorHAnsi" w:cs="Arial"/>
                <w:sz w:val="20"/>
                <w:szCs w:val="20"/>
              </w:rPr>
            </w:pPr>
            <w:r w:rsidRPr="000C6150">
              <w:rPr>
                <w:rFonts w:asciiTheme="majorHAnsi" w:hAnsiTheme="majorHAnsi" w:cs="Arial"/>
                <w:sz w:val="20"/>
                <w:szCs w:val="20"/>
              </w:rPr>
              <w:t>1350000</w:t>
            </w:r>
          </w:p>
        </w:tc>
      </w:tr>
    </w:tbl>
    <w:p w:rsidR="0066531E" w:rsidRDefault="0066531E" w:rsidP="0066531E">
      <w:pPr>
        <w:spacing w:line="360" w:lineRule="auto"/>
        <w:rPr>
          <w:rFonts w:ascii="Cambria" w:hAnsi="Cambria"/>
        </w:rPr>
      </w:pPr>
      <w:r>
        <w:rPr>
          <w:rFonts w:ascii="Cambria" w:hAnsi="Cambria"/>
        </w:rPr>
        <w:t xml:space="preserve"> </w:t>
      </w:r>
    </w:p>
    <w:p w:rsidR="0066531E" w:rsidRPr="002E313C" w:rsidRDefault="0066531E" w:rsidP="0066531E">
      <w:pPr>
        <w:spacing w:line="360" w:lineRule="auto"/>
        <w:rPr>
          <w:rFonts w:ascii="Cambria" w:hAnsi="Cambria"/>
        </w:rPr>
      </w:pPr>
      <w:r w:rsidRPr="002E313C">
        <w:rPr>
          <w:rFonts w:ascii="Cambria" w:hAnsi="Cambria"/>
        </w:rPr>
        <w:t xml:space="preserve">Free cash flow is </w:t>
      </w:r>
      <w:r w:rsidRPr="00E51381">
        <w:rPr>
          <w:rFonts w:asciiTheme="majorHAnsi" w:hAnsiTheme="majorHAnsi" w:cs="Arial"/>
        </w:rPr>
        <w:t>3740391</w:t>
      </w:r>
      <w:r>
        <w:rPr>
          <w:rFonts w:asciiTheme="majorHAnsi" w:hAnsiTheme="majorHAnsi" w:cs="Arial"/>
        </w:rPr>
        <w:t xml:space="preserve"> </w:t>
      </w:r>
      <w:r w:rsidRPr="002E313C">
        <w:rPr>
          <w:rFonts w:ascii="Cambria" w:hAnsi="Cambria"/>
        </w:rPr>
        <w:t xml:space="preserve">which </w:t>
      </w:r>
      <w:r>
        <w:rPr>
          <w:rFonts w:ascii="Cambria" w:hAnsi="Cambria"/>
        </w:rPr>
        <w:t>are lower because of the high investment during 2008-2009</w:t>
      </w:r>
      <w:r w:rsidRPr="002E313C">
        <w:rPr>
          <w:rFonts w:ascii="Cambria" w:hAnsi="Cambria"/>
        </w:rPr>
        <w:t xml:space="preserve"> in inventory</w:t>
      </w:r>
      <w:r>
        <w:rPr>
          <w:rFonts w:ascii="Cambria" w:hAnsi="Cambria"/>
        </w:rPr>
        <w:t>.</w:t>
      </w:r>
    </w:p>
    <w:p w:rsidR="0066531E" w:rsidRDefault="0066531E" w:rsidP="0066531E">
      <w:pPr>
        <w:spacing w:line="360" w:lineRule="auto"/>
        <w:rPr>
          <w:rFonts w:ascii="Cambria" w:hAnsi="Cambria"/>
        </w:rPr>
      </w:pPr>
      <w:r w:rsidRPr="002E313C">
        <w:rPr>
          <w:rFonts w:ascii="Cambria" w:hAnsi="Cambria"/>
        </w:rPr>
        <w:t xml:space="preserve">Cash flow to investor is </w:t>
      </w:r>
      <w:r w:rsidRPr="00E51381">
        <w:rPr>
          <w:rFonts w:asciiTheme="majorHAnsi" w:hAnsiTheme="majorHAnsi" w:cs="Arial"/>
        </w:rPr>
        <w:t>1350000</w:t>
      </w:r>
      <w:r>
        <w:rPr>
          <w:rFonts w:asciiTheme="majorHAnsi" w:hAnsiTheme="majorHAnsi" w:cs="Arial"/>
        </w:rPr>
        <w:t xml:space="preserve"> </w:t>
      </w:r>
      <w:r w:rsidRPr="002E313C">
        <w:rPr>
          <w:rFonts w:ascii="Cambria" w:hAnsi="Cambria"/>
        </w:rPr>
        <w:t xml:space="preserve">that are financed by </w:t>
      </w:r>
      <w:r w:rsidRPr="00E51381">
        <w:rPr>
          <w:rFonts w:asciiTheme="majorHAnsi" w:hAnsiTheme="majorHAnsi" w:cs="Arial"/>
        </w:rPr>
        <w:t xml:space="preserve">Free Cash Flow </w:t>
      </w:r>
      <w:r>
        <w:rPr>
          <w:rFonts w:asciiTheme="majorHAnsi" w:hAnsiTheme="majorHAnsi" w:cs="Arial"/>
        </w:rPr>
        <w:t xml:space="preserve">of </w:t>
      </w:r>
      <w:r w:rsidRPr="00E51381">
        <w:rPr>
          <w:rFonts w:asciiTheme="majorHAnsi" w:hAnsiTheme="majorHAnsi" w:cs="Arial"/>
        </w:rPr>
        <w:t>3740391</w:t>
      </w:r>
      <w:r>
        <w:rPr>
          <w:rFonts w:asciiTheme="majorHAnsi" w:hAnsiTheme="majorHAnsi" w:cs="Arial"/>
        </w:rPr>
        <w:t>.  This indicates that Dividends paid not from borrowing and the company debt is used in investment.</w:t>
      </w:r>
    </w:p>
    <w:p w:rsidR="0066531E" w:rsidRPr="00DF3CDC" w:rsidRDefault="0066531E" w:rsidP="0066531E">
      <w:pPr>
        <w:spacing w:line="360" w:lineRule="auto"/>
        <w:rPr>
          <w:rFonts w:ascii="Cambria" w:hAnsi="Cambria"/>
          <w:u w:val="single"/>
        </w:rPr>
      </w:pPr>
      <w:r>
        <w:rPr>
          <w:rFonts w:asciiTheme="majorHAnsi" w:hAnsiTheme="majorHAnsi" w:cs="Arial"/>
        </w:rPr>
        <w:t>Net working capital is not so much sufficient enough which show that the company may be face liquidity problems in upcoming years.</w:t>
      </w:r>
      <w:r w:rsidRPr="00E92206">
        <w:rPr>
          <w:rFonts w:asciiTheme="majorHAnsi" w:hAnsiTheme="majorHAnsi"/>
        </w:rPr>
        <w:br w:type="page"/>
      </w:r>
      <w:r w:rsidRPr="00DF3CDC">
        <w:rPr>
          <w:rFonts w:ascii="Cambria" w:hAnsi="Cambria"/>
          <w:b/>
          <w:sz w:val="28"/>
          <w:u w:val="single"/>
        </w:rPr>
        <w:lastRenderedPageBreak/>
        <w:t>DuPont Analysis</w:t>
      </w:r>
    </w:p>
    <w:p w:rsidR="0066531E" w:rsidRPr="00002D26" w:rsidRDefault="0066531E" w:rsidP="0066531E">
      <w:pPr>
        <w:spacing w:line="360" w:lineRule="auto"/>
        <w:jc w:val="both"/>
        <w:rPr>
          <w:rFonts w:ascii="Cambria" w:hAnsi="Cambria"/>
        </w:rPr>
      </w:pPr>
      <w:r w:rsidRPr="00002D26">
        <w:rPr>
          <w:rFonts w:ascii="Cambria" w:hAnsi="Cambria"/>
        </w:rPr>
        <w:t>a. Profit Margin on Sales =Net income/sales</w:t>
      </w:r>
    </w:p>
    <w:p w:rsidR="0066531E" w:rsidRPr="00002D26" w:rsidRDefault="0066531E" w:rsidP="0066531E">
      <w:pPr>
        <w:spacing w:line="360" w:lineRule="auto"/>
        <w:ind w:left="1440" w:firstLine="720"/>
        <w:jc w:val="both"/>
        <w:rPr>
          <w:rFonts w:ascii="Cambria" w:hAnsi="Cambria"/>
        </w:rPr>
      </w:pPr>
      <w:r w:rsidRPr="00002D26">
        <w:rPr>
          <w:rFonts w:ascii="Cambria" w:hAnsi="Cambria"/>
        </w:rPr>
        <w:t>X</w:t>
      </w:r>
    </w:p>
    <w:p w:rsidR="0066531E" w:rsidRPr="00002D26" w:rsidRDefault="0066531E" w:rsidP="0066531E">
      <w:pPr>
        <w:spacing w:line="360" w:lineRule="auto"/>
        <w:jc w:val="both"/>
        <w:rPr>
          <w:rFonts w:ascii="Cambria" w:hAnsi="Cambria"/>
        </w:rPr>
      </w:pPr>
      <w:r w:rsidRPr="00002D26">
        <w:rPr>
          <w:rFonts w:ascii="Cambria" w:hAnsi="Cambria"/>
        </w:rPr>
        <w:t>b. Total Asset Turnover=Sales /Total Asset</w:t>
      </w:r>
    </w:p>
    <w:p w:rsidR="0066531E" w:rsidRPr="00002D26" w:rsidRDefault="0066531E" w:rsidP="0066531E">
      <w:pPr>
        <w:spacing w:line="360" w:lineRule="auto"/>
        <w:ind w:left="1440" w:firstLine="720"/>
        <w:jc w:val="both"/>
        <w:rPr>
          <w:rFonts w:ascii="Cambria" w:hAnsi="Cambria"/>
        </w:rPr>
      </w:pPr>
      <w:r w:rsidRPr="00002D26">
        <w:rPr>
          <w:rFonts w:ascii="Cambria" w:hAnsi="Cambria"/>
        </w:rPr>
        <w:t xml:space="preserve">= </w:t>
      </w:r>
    </w:p>
    <w:p w:rsidR="0066531E" w:rsidRPr="00002D26" w:rsidRDefault="0066531E" w:rsidP="0066531E">
      <w:pPr>
        <w:spacing w:line="360" w:lineRule="auto"/>
        <w:jc w:val="both"/>
        <w:rPr>
          <w:rFonts w:ascii="Cambria" w:hAnsi="Cambria"/>
        </w:rPr>
      </w:pPr>
      <w:r w:rsidRPr="00002D26">
        <w:rPr>
          <w:rFonts w:ascii="Cambria" w:hAnsi="Cambria"/>
        </w:rPr>
        <w:t>c. Return on Assets (ROA) = Net Income/Total Assets</w:t>
      </w:r>
    </w:p>
    <w:p w:rsidR="0066531E" w:rsidRPr="00002D26" w:rsidRDefault="0066531E" w:rsidP="0066531E">
      <w:pPr>
        <w:spacing w:line="360" w:lineRule="auto"/>
        <w:ind w:left="1440" w:firstLine="720"/>
        <w:jc w:val="both"/>
        <w:rPr>
          <w:rFonts w:ascii="Cambria" w:hAnsi="Cambria"/>
        </w:rPr>
      </w:pPr>
      <w:r w:rsidRPr="00002D26">
        <w:rPr>
          <w:rFonts w:ascii="Cambria" w:hAnsi="Cambria"/>
        </w:rPr>
        <w:t xml:space="preserve">X </w:t>
      </w:r>
    </w:p>
    <w:p w:rsidR="0066531E" w:rsidRPr="00002D26" w:rsidRDefault="0066531E" w:rsidP="0066531E">
      <w:pPr>
        <w:spacing w:line="360" w:lineRule="auto"/>
        <w:jc w:val="both"/>
        <w:rPr>
          <w:rFonts w:ascii="Cambria" w:hAnsi="Cambria"/>
        </w:rPr>
      </w:pPr>
      <w:r w:rsidRPr="00002D26">
        <w:rPr>
          <w:rFonts w:ascii="Cambria" w:hAnsi="Cambria"/>
        </w:rPr>
        <w:t>d. Financial Leverage=Total Assets/Common Equity</w:t>
      </w:r>
    </w:p>
    <w:p w:rsidR="0066531E" w:rsidRPr="00002D26" w:rsidRDefault="0066531E" w:rsidP="0066531E">
      <w:pPr>
        <w:spacing w:line="360" w:lineRule="auto"/>
        <w:ind w:left="1440" w:firstLine="720"/>
        <w:jc w:val="both"/>
        <w:rPr>
          <w:rFonts w:ascii="Cambria" w:hAnsi="Cambria"/>
        </w:rPr>
      </w:pPr>
      <w:r w:rsidRPr="00002D26">
        <w:rPr>
          <w:rFonts w:ascii="Cambria" w:hAnsi="Cambria"/>
        </w:rPr>
        <w:t xml:space="preserve">= </w:t>
      </w:r>
    </w:p>
    <w:p w:rsidR="0066531E" w:rsidRPr="00002D26" w:rsidRDefault="0066531E" w:rsidP="0066531E">
      <w:pPr>
        <w:spacing w:line="360" w:lineRule="auto"/>
        <w:jc w:val="both"/>
        <w:rPr>
          <w:rFonts w:ascii="Cambria" w:hAnsi="Cambria"/>
        </w:rPr>
      </w:pPr>
      <w:r w:rsidRPr="00002D26">
        <w:rPr>
          <w:rFonts w:ascii="Cambria" w:hAnsi="Cambria"/>
        </w:rPr>
        <w:t>e. Return on Equity (ROE) =Net income (available to common stockholders)/Common Equity</w:t>
      </w:r>
    </w:p>
    <w:p w:rsidR="0066531E" w:rsidRPr="00002D26" w:rsidRDefault="0066531E" w:rsidP="0066531E">
      <w:pPr>
        <w:spacing w:line="360" w:lineRule="auto"/>
        <w:jc w:val="both"/>
        <w:rPr>
          <w:rFonts w:ascii="Cambria" w:hAnsi="Cambria"/>
        </w:rPr>
      </w:pPr>
    </w:p>
    <w:p w:rsidR="0066531E" w:rsidRPr="00A3666A" w:rsidRDefault="0066531E" w:rsidP="0066531E">
      <w:pPr>
        <w:pStyle w:val="Caption"/>
        <w:keepNext/>
        <w:jc w:val="both"/>
        <w:rPr>
          <w:rFonts w:ascii="Cambria" w:hAnsi="Cambria"/>
          <w:sz w:val="18"/>
          <w:szCs w:val="18"/>
        </w:rPr>
      </w:pPr>
      <w:r w:rsidRPr="00A3666A">
        <w:rPr>
          <w:rFonts w:ascii="Cambria" w:hAnsi="Cambria"/>
          <w:sz w:val="18"/>
          <w:szCs w:val="18"/>
        </w:rPr>
        <w:t xml:space="preserve">Table </w:t>
      </w:r>
      <w:r w:rsidR="002A20DB" w:rsidRPr="00A3666A">
        <w:rPr>
          <w:rFonts w:ascii="Cambria" w:hAnsi="Cambria"/>
          <w:sz w:val="18"/>
          <w:szCs w:val="18"/>
        </w:rPr>
        <w:fldChar w:fldCharType="begin"/>
      </w:r>
      <w:r w:rsidRPr="00A3666A">
        <w:rPr>
          <w:rFonts w:ascii="Cambria" w:hAnsi="Cambria"/>
          <w:sz w:val="18"/>
          <w:szCs w:val="18"/>
        </w:rPr>
        <w:instrText xml:space="preserve"> SEQ Table \* ARABIC </w:instrText>
      </w:r>
      <w:r w:rsidR="002A20DB" w:rsidRPr="00A3666A">
        <w:rPr>
          <w:rFonts w:ascii="Cambria" w:hAnsi="Cambria"/>
          <w:sz w:val="18"/>
          <w:szCs w:val="18"/>
        </w:rPr>
        <w:fldChar w:fldCharType="separate"/>
      </w:r>
      <w:r>
        <w:rPr>
          <w:rFonts w:ascii="Cambria" w:hAnsi="Cambria"/>
          <w:noProof/>
          <w:sz w:val="18"/>
          <w:szCs w:val="18"/>
        </w:rPr>
        <w:t>2</w:t>
      </w:r>
      <w:r w:rsidR="002A20DB" w:rsidRPr="00A3666A">
        <w:rPr>
          <w:rFonts w:ascii="Cambria" w:hAnsi="Cambria"/>
          <w:sz w:val="18"/>
          <w:szCs w:val="18"/>
        </w:rPr>
        <w:fldChar w:fldCharType="end"/>
      </w:r>
      <w:r w:rsidRPr="00A3666A">
        <w:rPr>
          <w:rFonts w:ascii="Cambria" w:hAnsi="Cambria"/>
          <w:sz w:val="18"/>
          <w:szCs w:val="18"/>
        </w:rPr>
        <w:t>: DuPont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0"/>
        <w:gridCol w:w="1321"/>
        <w:gridCol w:w="1321"/>
        <w:gridCol w:w="1320"/>
        <w:gridCol w:w="1321"/>
        <w:gridCol w:w="1321"/>
        <w:gridCol w:w="1321"/>
      </w:tblGrid>
      <w:tr w:rsidR="0066531E" w:rsidRPr="00002D26" w:rsidTr="001245FC">
        <w:trPr>
          <w:trHeight w:val="361"/>
        </w:trPr>
        <w:tc>
          <w:tcPr>
            <w:tcW w:w="1320" w:type="dxa"/>
            <w:vAlign w:val="center"/>
          </w:tcPr>
          <w:p w:rsidR="0066531E" w:rsidRPr="00002D26" w:rsidRDefault="0066531E" w:rsidP="001245FC">
            <w:pPr>
              <w:jc w:val="both"/>
              <w:rPr>
                <w:rFonts w:ascii="Cambria" w:hAnsi="Cambria" w:cs="Arial"/>
                <w:b/>
              </w:rPr>
            </w:pPr>
          </w:p>
        </w:tc>
        <w:tc>
          <w:tcPr>
            <w:tcW w:w="1321" w:type="dxa"/>
            <w:vAlign w:val="center"/>
          </w:tcPr>
          <w:p w:rsidR="0066531E" w:rsidRPr="00002D26" w:rsidRDefault="0066531E" w:rsidP="001245FC">
            <w:pPr>
              <w:jc w:val="both"/>
              <w:rPr>
                <w:rFonts w:ascii="Cambria" w:hAnsi="Cambria" w:cs="Arial"/>
                <w:b/>
                <w:bCs/>
              </w:rPr>
            </w:pPr>
            <w:r w:rsidRPr="00002D26">
              <w:rPr>
                <w:rFonts w:ascii="Cambria" w:hAnsi="Cambria" w:cs="Arial"/>
                <w:b/>
                <w:bCs/>
              </w:rPr>
              <w:t>2009</w:t>
            </w:r>
          </w:p>
        </w:tc>
        <w:tc>
          <w:tcPr>
            <w:tcW w:w="1321" w:type="dxa"/>
            <w:vAlign w:val="center"/>
          </w:tcPr>
          <w:p w:rsidR="0066531E" w:rsidRPr="00002D26" w:rsidRDefault="0066531E" w:rsidP="001245FC">
            <w:pPr>
              <w:jc w:val="both"/>
              <w:rPr>
                <w:rFonts w:ascii="Cambria" w:hAnsi="Cambria" w:cs="Arial"/>
                <w:b/>
                <w:bCs/>
              </w:rPr>
            </w:pPr>
            <w:r w:rsidRPr="00002D26">
              <w:rPr>
                <w:rFonts w:ascii="Cambria" w:hAnsi="Cambria" w:cs="Arial"/>
                <w:b/>
                <w:bCs/>
              </w:rPr>
              <w:t>2008</w:t>
            </w:r>
          </w:p>
        </w:tc>
        <w:tc>
          <w:tcPr>
            <w:tcW w:w="1320" w:type="dxa"/>
            <w:vAlign w:val="center"/>
          </w:tcPr>
          <w:p w:rsidR="0066531E" w:rsidRPr="00002D26" w:rsidRDefault="0066531E" w:rsidP="001245FC">
            <w:pPr>
              <w:jc w:val="both"/>
              <w:rPr>
                <w:rFonts w:ascii="Cambria" w:hAnsi="Cambria" w:cs="Arial"/>
                <w:b/>
                <w:bCs/>
              </w:rPr>
            </w:pPr>
            <w:r w:rsidRPr="00002D26">
              <w:rPr>
                <w:rFonts w:ascii="Cambria" w:hAnsi="Cambria" w:cs="Arial"/>
                <w:b/>
                <w:bCs/>
              </w:rPr>
              <w:t>2007</w:t>
            </w:r>
          </w:p>
        </w:tc>
        <w:tc>
          <w:tcPr>
            <w:tcW w:w="1321" w:type="dxa"/>
            <w:vAlign w:val="center"/>
          </w:tcPr>
          <w:p w:rsidR="0066531E" w:rsidRPr="00002D26" w:rsidRDefault="0066531E" w:rsidP="001245FC">
            <w:pPr>
              <w:jc w:val="both"/>
              <w:rPr>
                <w:rFonts w:ascii="Cambria" w:hAnsi="Cambria" w:cs="Arial"/>
                <w:b/>
                <w:bCs/>
              </w:rPr>
            </w:pPr>
            <w:r w:rsidRPr="00002D26">
              <w:rPr>
                <w:rFonts w:ascii="Cambria" w:hAnsi="Cambria" w:cs="Arial"/>
                <w:b/>
                <w:bCs/>
              </w:rPr>
              <w:t>2006</w:t>
            </w:r>
          </w:p>
        </w:tc>
        <w:tc>
          <w:tcPr>
            <w:tcW w:w="1321" w:type="dxa"/>
            <w:vAlign w:val="center"/>
          </w:tcPr>
          <w:p w:rsidR="0066531E" w:rsidRPr="00002D26" w:rsidRDefault="0066531E" w:rsidP="001245FC">
            <w:pPr>
              <w:jc w:val="both"/>
              <w:rPr>
                <w:rFonts w:ascii="Cambria" w:hAnsi="Cambria" w:cs="Arial"/>
                <w:b/>
                <w:bCs/>
              </w:rPr>
            </w:pPr>
            <w:r w:rsidRPr="00002D26">
              <w:rPr>
                <w:rFonts w:ascii="Cambria" w:hAnsi="Cambria" w:cs="Arial"/>
                <w:b/>
                <w:bCs/>
              </w:rPr>
              <w:t>2005</w:t>
            </w:r>
          </w:p>
        </w:tc>
        <w:tc>
          <w:tcPr>
            <w:tcW w:w="1321" w:type="dxa"/>
            <w:vAlign w:val="center"/>
          </w:tcPr>
          <w:p w:rsidR="0066531E" w:rsidRPr="00002D26" w:rsidRDefault="0066531E" w:rsidP="001245FC">
            <w:pPr>
              <w:pStyle w:val="NormalWeb"/>
              <w:spacing w:before="96" w:beforeAutospacing="0" w:after="0" w:afterAutospacing="0"/>
              <w:jc w:val="both"/>
              <w:textAlignment w:val="baseline"/>
              <w:rPr>
                <w:rFonts w:ascii="Cambria" w:hAnsi="Cambria" w:cs="Arial"/>
                <w:b/>
              </w:rPr>
            </w:pPr>
            <w:r w:rsidRPr="00002D26">
              <w:rPr>
                <w:rFonts w:ascii="Cambria" w:hAnsi="Cambria" w:cs="Arial"/>
                <w:b/>
                <w:color w:val="000000"/>
                <w:kern w:val="24"/>
              </w:rPr>
              <w:t>Ind.</w:t>
            </w:r>
          </w:p>
        </w:tc>
      </w:tr>
      <w:tr w:rsidR="0066531E" w:rsidRPr="00002D26" w:rsidTr="001245FC">
        <w:trPr>
          <w:trHeight w:val="536"/>
        </w:trPr>
        <w:tc>
          <w:tcPr>
            <w:tcW w:w="1320" w:type="dxa"/>
            <w:vAlign w:val="center"/>
          </w:tcPr>
          <w:p w:rsidR="0066531E" w:rsidRPr="00002D26" w:rsidRDefault="0066531E" w:rsidP="001245FC">
            <w:pPr>
              <w:pStyle w:val="NormalWeb"/>
              <w:spacing w:before="96" w:beforeAutospacing="0" w:after="0" w:afterAutospacing="0"/>
              <w:jc w:val="both"/>
              <w:textAlignment w:val="baseline"/>
              <w:rPr>
                <w:rFonts w:ascii="Cambria" w:hAnsi="Cambria" w:cs="Arial"/>
                <w:b/>
              </w:rPr>
            </w:pPr>
            <w:r w:rsidRPr="00002D26">
              <w:rPr>
                <w:rFonts w:ascii="Cambria" w:hAnsi="Cambria" w:cs="Arial"/>
                <w:b/>
                <w:color w:val="000000"/>
                <w:kern w:val="24"/>
              </w:rPr>
              <w:t>Profit Margin</w:t>
            </w:r>
          </w:p>
        </w:tc>
        <w:tc>
          <w:tcPr>
            <w:tcW w:w="1321" w:type="dxa"/>
            <w:vAlign w:val="center"/>
          </w:tcPr>
          <w:p w:rsidR="0066531E" w:rsidRPr="00002D26" w:rsidRDefault="0066531E" w:rsidP="001245FC">
            <w:pPr>
              <w:jc w:val="both"/>
              <w:rPr>
                <w:rFonts w:ascii="Cambria" w:hAnsi="Cambria" w:cs="Arial"/>
                <w:b/>
                <w:bCs/>
              </w:rPr>
            </w:pPr>
            <w:r w:rsidRPr="00002D26">
              <w:rPr>
                <w:rFonts w:ascii="Cambria" w:hAnsi="Cambria" w:cs="Arial"/>
                <w:b/>
                <w:bCs/>
              </w:rPr>
              <w:t>1.36%</w:t>
            </w:r>
          </w:p>
        </w:tc>
        <w:tc>
          <w:tcPr>
            <w:tcW w:w="1321" w:type="dxa"/>
            <w:vAlign w:val="center"/>
          </w:tcPr>
          <w:p w:rsidR="0066531E" w:rsidRPr="00002D26" w:rsidRDefault="0066531E" w:rsidP="001245FC">
            <w:pPr>
              <w:jc w:val="both"/>
              <w:rPr>
                <w:rFonts w:ascii="Cambria" w:hAnsi="Cambria" w:cs="Arial"/>
                <w:b/>
                <w:bCs/>
              </w:rPr>
            </w:pPr>
            <w:r w:rsidRPr="00002D26">
              <w:rPr>
                <w:rFonts w:ascii="Cambria" w:hAnsi="Cambria" w:cs="Arial"/>
                <w:b/>
                <w:bCs/>
              </w:rPr>
              <w:t>1.74%</w:t>
            </w:r>
          </w:p>
        </w:tc>
        <w:tc>
          <w:tcPr>
            <w:tcW w:w="1320" w:type="dxa"/>
            <w:vAlign w:val="center"/>
          </w:tcPr>
          <w:p w:rsidR="0066531E" w:rsidRPr="00002D26" w:rsidRDefault="0066531E" w:rsidP="001245FC">
            <w:pPr>
              <w:jc w:val="both"/>
              <w:rPr>
                <w:rFonts w:ascii="Cambria" w:hAnsi="Cambria" w:cs="Arial"/>
                <w:b/>
                <w:bCs/>
              </w:rPr>
            </w:pPr>
            <w:r w:rsidRPr="00002D26">
              <w:rPr>
                <w:rFonts w:ascii="Cambria" w:hAnsi="Cambria" w:cs="Arial"/>
                <w:b/>
                <w:bCs/>
              </w:rPr>
              <w:t>2.01%</w:t>
            </w:r>
          </w:p>
        </w:tc>
        <w:tc>
          <w:tcPr>
            <w:tcW w:w="1321" w:type="dxa"/>
            <w:vAlign w:val="center"/>
          </w:tcPr>
          <w:p w:rsidR="0066531E" w:rsidRPr="00002D26" w:rsidRDefault="0066531E" w:rsidP="001245FC">
            <w:pPr>
              <w:jc w:val="both"/>
              <w:rPr>
                <w:rFonts w:ascii="Cambria" w:hAnsi="Cambria" w:cs="Arial"/>
                <w:b/>
                <w:bCs/>
              </w:rPr>
            </w:pPr>
            <w:r w:rsidRPr="00002D26">
              <w:rPr>
                <w:rFonts w:ascii="Cambria" w:hAnsi="Cambria" w:cs="Arial"/>
                <w:b/>
                <w:bCs/>
              </w:rPr>
              <w:t>1.58%</w:t>
            </w:r>
          </w:p>
        </w:tc>
        <w:tc>
          <w:tcPr>
            <w:tcW w:w="1321" w:type="dxa"/>
            <w:vAlign w:val="center"/>
          </w:tcPr>
          <w:p w:rsidR="0066531E" w:rsidRPr="00002D26" w:rsidRDefault="0066531E" w:rsidP="001245FC">
            <w:pPr>
              <w:jc w:val="both"/>
              <w:rPr>
                <w:rFonts w:ascii="Cambria" w:hAnsi="Cambria" w:cs="Arial"/>
                <w:b/>
                <w:bCs/>
              </w:rPr>
            </w:pPr>
            <w:r w:rsidRPr="00002D26">
              <w:rPr>
                <w:rFonts w:ascii="Cambria" w:hAnsi="Cambria" w:cs="Arial"/>
                <w:b/>
                <w:bCs/>
              </w:rPr>
              <w:t>0.78%</w:t>
            </w:r>
          </w:p>
        </w:tc>
        <w:tc>
          <w:tcPr>
            <w:tcW w:w="1321" w:type="dxa"/>
            <w:vAlign w:val="center"/>
          </w:tcPr>
          <w:p w:rsidR="0066531E" w:rsidRPr="00002D26" w:rsidRDefault="0066531E" w:rsidP="001245FC">
            <w:pPr>
              <w:pStyle w:val="NormalWeb"/>
              <w:spacing w:before="96" w:beforeAutospacing="0" w:after="0" w:afterAutospacing="0"/>
              <w:jc w:val="both"/>
              <w:textAlignment w:val="baseline"/>
              <w:rPr>
                <w:rFonts w:ascii="Cambria" w:hAnsi="Cambria" w:cs="Arial"/>
                <w:b/>
              </w:rPr>
            </w:pPr>
            <w:r w:rsidRPr="00002D26">
              <w:rPr>
                <w:rFonts w:ascii="Cambria" w:hAnsi="Cambria" w:cs="Arial"/>
                <w:b/>
                <w:color w:val="000000"/>
                <w:kern w:val="24"/>
              </w:rPr>
              <w:t>4.7%</w:t>
            </w:r>
          </w:p>
        </w:tc>
      </w:tr>
      <w:tr w:rsidR="0066531E" w:rsidRPr="00002D26" w:rsidTr="001245FC">
        <w:trPr>
          <w:trHeight w:val="536"/>
        </w:trPr>
        <w:tc>
          <w:tcPr>
            <w:tcW w:w="1320" w:type="dxa"/>
            <w:vAlign w:val="center"/>
          </w:tcPr>
          <w:p w:rsidR="0066531E" w:rsidRPr="00002D26" w:rsidRDefault="0066531E" w:rsidP="001245FC">
            <w:pPr>
              <w:pStyle w:val="NormalWeb"/>
              <w:spacing w:before="96" w:beforeAutospacing="0" w:after="0" w:afterAutospacing="0"/>
              <w:jc w:val="both"/>
              <w:textAlignment w:val="baseline"/>
              <w:rPr>
                <w:rFonts w:ascii="Cambria" w:hAnsi="Cambria" w:cs="Arial"/>
                <w:b/>
              </w:rPr>
            </w:pPr>
            <w:r w:rsidRPr="00002D26">
              <w:rPr>
                <w:rFonts w:ascii="Cambria" w:hAnsi="Cambria" w:cs="Arial"/>
                <w:b/>
                <w:color w:val="000000"/>
                <w:kern w:val="24"/>
              </w:rPr>
              <w:t>Asset Turnover</w:t>
            </w:r>
          </w:p>
        </w:tc>
        <w:tc>
          <w:tcPr>
            <w:tcW w:w="1321" w:type="dxa"/>
            <w:vAlign w:val="center"/>
          </w:tcPr>
          <w:p w:rsidR="0066531E" w:rsidRPr="00002D26" w:rsidRDefault="0066531E" w:rsidP="001245FC">
            <w:pPr>
              <w:jc w:val="both"/>
              <w:rPr>
                <w:rFonts w:ascii="Cambria" w:hAnsi="Cambria" w:cs="Arial"/>
                <w:b/>
                <w:bCs/>
              </w:rPr>
            </w:pPr>
            <w:r w:rsidRPr="00002D26">
              <w:rPr>
                <w:rFonts w:ascii="Cambria" w:hAnsi="Cambria" w:cs="Arial"/>
                <w:b/>
                <w:bCs/>
              </w:rPr>
              <w:t>1.35</w:t>
            </w:r>
          </w:p>
        </w:tc>
        <w:tc>
          <w:tcPr>
            <w:tcW w:w="1321" w:type="dxa"/>
            <w:vAlign w:val="center"/>
          </w:tcPr>
          <w:p w:rsidR="0066531E" w:rsidRPr="00002D26" w:rsidRDefault="0066531E" w:rsidP="001245FC">
            <w:pPr>
              <w:jc w:val="both"/>
              <w:rPr>
                <w:rFonts w:ascii="Cambria" w:hAnsi="Cambria" w:cs="Arial"/>
                <w:b/>
                <w:bCs/>
              </w:rPr>
            </w:pPr>
            <w:r w:rsidRPr="00002D26">
              <w:rPr>
                <w:rFonts w:ascii="Cambria" w:hAnsi="Cambria" w:cs="Arial"/>
                <w:b/>
                <w:bCs/>
              </w:rPr>
              <w:t>1.49</w:t>
            </w:r>
          </w:p>
        </w:tc>
        <w:tc>
          <w:tcPr>
            <w:tcW w:w="1320" w:type="dxa"/>
            <w:vAlign w:val="center"/>
          </w:tcPr>
          <w:p w:rsidR="0066531E" w:rsidRPr="00002D26" w:rsidRDefault="0066531E" w:rsidP="001245FC">
            <w:pPr>
              <w:jc w:val="both"/>
              <w:rPr>
                <w:rFonts w:ascii="Cambria" w:hAnsi="Cambria" w:cs="Arial"/>
                <w:b/>
                <w:bCs/>
              </w:rPr>
            </w:pPr>
            <w:r w:rsidRPr="00002D26">
              <w:rPr>
                <w:rFonts w:ascii="Cambria" w:hAnsi="Cambria" w:cs="Arial"/>
                <w:b/>
                <w:bCs/>
              </w:rPr>
              <w:t>1.46</w:t>
            </w:r>
          </w:p>
        </w:tc>
        <w:tc>
          <w:tcPr>
            <w:tcW w:w="1321" w:type="dxa"/>
            <w:vAlign w:val="center"/>
          </w:tcPr>
          <w:p w:rsidR="0066531E" w:rsidRPr="00002D26" w:rsidRDefault="0066531E" w:rsidP="001245FC">
            <w:pPr>
              <w:jc w:val="both"/>
              <w:rPr>
                <w:rFonts w:ascii="Cambria" w:hAnsi="Cambria" w:cs="Arial"/>
                <w:b/>
                <w:bCs/>
              </w:rPr>
            </w:pPr>
            <w:r w:rsidRPr="00002D26">
              <w:rPr>
                <w:rFonts w:ascii="Cambria" w:hAnsi="Cambria" w:cs="Arial"/>
                <w:b/>
                <w:bCs/>
              </w:rPr>
              <w:t>1.19</w:t>
            </w:r>
          </w:p>
        </w:tc>
        <w:tc>
          <w:tcPr>
            <w:tcW w:w="1321" w:type="dxa"/>
            <w:vAlign w:val="center"/>
          </w:tcPr>
          <w:p w:rsidR="0066531E" w:rsidRPr="00002D26" w:rsidRDefault="0066531E" w:rsidP="001245FC">
            <w:pPr>
              <w:jc w:val="both"/>
              <w:rPr>
                <w:rFonts w:ascii="Cambria" w:hAnsi="Cambria" w:cs="Arial"/>
                <w:b/>
                <w:bCs/>
              </w:rPr>
            </w:pPr>
            <w:r w:rsidRPr="00002D26">
              <w:rPr>
                <w:rFonts w:ascii="Cambria" w:hAnsi="Cambria" w:cs="Arial"/>
                <w:b/>
                <w:bCs/>
              </w:rPr>
              <w:t>1.15</w:t>
            </w:r>
          </w:p>
        </w:tc>
        <w:tc>
          <w:tcPr>
            <w:tcW w:w="1321" w:type="dxa"/>
            <w:vAlign w:val="center"/>
          </w:tcPr>
          <w:p w:rsidR="0066531E" w:rsidRPr="00002D26" w:rsidRDefault="0066531E" w:rsidP="001245FC">
            <w:pPr>
              <w:pStyle w:val="NormalWeb"/>
              <w:spacing w:before="96" w:beforeAutospacing="0" w:after="0" w:afterAutospacing="0"/>
              <w:jc w:val="both"/>
              <w:textAlignment w:val="baseline"/>
              <w:rPr>
                <w:rFonts w:ascii="Cambria" w:hAnsi="Cambria" w:cs="Arial"/>
                <w:b/>
              </w:rPr>
            </w:pPr>
            <w:r w:rsidRPr="00002D26">
              <w:rPr>
                <w:rFonts w:ascii="Cambria" w:hAnsi="Cambria" w:cs="Arial"/>
                <w:b/>
                <w:color w:val="000000"/>
                <w:kern w:val="24"/>
              </w:rPr>
              <w:t>2</w:t>
            </w:r>
          </w:p>
        </w:tc>
      </w:tr>
      <w:tr w:rsidR="0066531E" w:rsidRPr="00002D26" w:rsidTr="001245FC">
        <w:trPr>
          <w:trHeight w:val="536"/>
        </w:trPr>
        <w:tc>
          <w:tcPr>
            <w:tcW w:w="1320" w:type="dxa"/>
            <w:vAlign w:val="center"/>
          </w:tcPr>
          <w:p w:rsidR="0066531E" w:rsidRPr="00002D26" w:rsidRDefault="0066531E" w:rsidP="001245FC">
            <w:pPr>
              <w:pStyle w:val="NormalWeb"/>
              <w:spacing w:before="96" w:beforeAutospacing="0" w:after="0" w:afterAutospacing="0"/>
              <w:jc w:val="both"/>
              <w:textAlignment w:val="baseline"/>
              <w:rPr>
                <w:rFonts w:ascii="Cambria" w:hAnsi="Cambria" w:cs="Arial"/>
                <w:b/>
              </w:rPr>
            </w:pPr>
            <w:r w:rsidRPr="00002D26">
              <w:rPr>
                <w:rFonts w:ascii="Cambria" w:hAnsi="Cambria" w:cs="Arial"/>
                <w:b/>
                <w:color w:val="000000"/>
                <w:kern w:val="24"/>
              </w:rPr>
              <w:t>ROA</w:t>
            </w:r>
          </w:p>
        </w:tc>
        <w:tc>
          <w:tcPr>
            <w:tcW w:w="1321" w:type="dxa"/>
            <w:vAlign w:val="center"/>
          </w:tcPr>
          <w:p w:rsidR="0066531E" w:rsidRPr="00002D26" w:rsidRDefault="0066531E" w:rsidP="001245FC">
            <w:pPr>
              <w:jc w:val="both"/>
              <w:rPr>
                <w:rFonts w:ascii="Cambria" w:hAnsi="Cambria" w:cs="Arial"/>
                <w:b/>
                <w:bCs/>
              </w:rPr>
            </w:pPr>
            <w:r w:rsidRPr="00002D26">
              <w:rPr>
                <w:rFonts w:ascii="Cambria" w:hAnsi="Cambria" w:cs="Arial"/>
                <w:b/>
                <w:bCs/>
              </w:rPr>
              <w:t>1.83%</w:t>
            </w:r>
          </w:p>
        </w:tc>
        <w:tc>
          <w:tcPr>
            <w:tcW w:w="1321" w:type="dxa"/>
            <w:vAlign w:val="center"/>
          </w:tcPr>
          <w:p w:rsidR="0066531E" w:rsidRPr="00002D26" w:rsidRDefault="0066531E" w:rsidP="001245FC">
            <w:pPr>
              <w:jc w:val="both"/>
              <w:rPr>
                <w:rFonts w:ascii="Cambria" w:hAnsi="Cambria" w:cs="Arial"/>
                <w:b/>
                <w:bCs/>
              </w:rPr>
            </w:pPr>
            <w:r w:rsidRPr="00002D26">
              <w:rPr>
                <w:rFonts w:ascii="Cambria" w:hAnsi="Cambria" w:cs="Arial"/>
                <w:b/>
                <w:bCs/>
              </w:rPr>
              <w:t>2.59%</w:t>
            </w:r>
          </w:p>
        </w:tc>
        <w:tc>
          <w:tcPr>
            <w:tcW w:w="1320" w:type="dxa"/>
            <w:vAlign w:val="center"/>
          </w:tcPr>
          <w:p w:rsidR="0066531E" w:rsidRPr="00002D26" w:rsidRDefault="0066531E" w:rsidP="001245FC">
            <w:pPr>
              <w:jc w:val="both"/>
              <w:rPr>
                <w:rFonts w:ascii="Cambria" w:hAnsi="Cambria" w:cs="Arial"/>
                <w:b/>
                <w:bCs/>
              </w:rPr>
            </w:pPr>
            <w:r w:rsidRPr="00002D26">
              <w:rPr>
                <w:rFonts w:ascii="Cambria" w:hAnsi="Cambria" w:cs="Arial"/>
                <w:b/>
                <w:bCs/>
              </w:rPr>
              <w:t>2.95%</w:t>
            </w:r>
          </w:p>
        </w:tc>
        <w:tc>
          <w:tcPr>
            <w:tcW w:w="1321" w:type="dxa"/>
            <w:vAlign w:val="center"/>
          </w:tcPr>
          <w:p w:rsidR="0066531E" w:rsidRPr="00002D26" w:rsidRDefault="0066531E" w:rsidP="001245FC">
            <w:pPr>
              <w:jc w:val="both"/>
              <w:rPr>
                <w:rFonts w:ascii="Cambria" w:hAnsi="Cambria" w:cs="Arial"/>
                <w:b/>
                <w:bCs/>
              </w:rPr>
            </w:pPr>
            <w:r w:rsidRPr="00002D26">
              <w:rPr>
                <w:rFonts w:ascii="Cambria" w:hAnsi="Cambria" w:cs="Arial"/>
                <w:b/>
                <w:bCs/>
              </w:rPr>
              <w:t>1.88%</w:t>
            </w:r>
          </w:p>
        </w:tc>
        <w:tc>
          <w:tcPr>
            <w:tcW w:w="1321" w:type="dxa"/>
            <w:vAlign w:val="center"/>
          </w:tcPr>
          <w:p w:rsidR="0066531E" w:rsidRPr="00002D26" w:rsidRDefault="0066531E" w:rsidP="001245FC">
            <w:pPr>
              <w:jc w:val="both"/>
              <w:rPr>
                <w:rFonts w:ascii="Cambria" w:hAnsi="Cambria" w:cs="Arial"/>
                <w:b/>
                <w:bCs/>
              </w:rPr>
            </w:pPr>
            <w:r w:rsidRPr="00002D26">
              <w:rPr>
                <w:rFonts w:ascii="Cambria" w:hAnsi="Cambria" w:cs="Arial"/>
                <w:b/>
                <w:bCs/>
              </w:rPr>
              <w:t>0.90%</w:t>
            </w:r>
          </w:p>
        </w:tc>
        <w:tc>
          <w:tcPr>
            <w:tcW w:w="1321" w:type="dxa"/>
            <w:vAlign w:val="center"/>
          </w:tcPr>
          <w:p w:rsidR="0066531E" w:rsidRPr="00002D26" w:rsidRDefault="0066531E" w:rsidP="001245FC">
            <w:pPr>
              <w:pStyle w:val="NormalWeb"/>
              <w:spacing w:before="96" w:beforeAutospacing="0" w:after="0" w:afterAutospacing="0"/>
              <w:jc w:val="both"/>
              <w:textAlignment w:val="baseline"/>
              <w:rPr>
                <w:rFonts w:ascii="Cambria" w:hAnsi="Cambria" w:cs="Arial"/>
                <w:b/>
              </w:rPr>
            </w:pPr>
            <w:r w:rsidRPr="00002D26">
              <w:rPr>
                <w:rFonts w:ascii="Cambria" w:hAnsi="Cambria" w:cs="Arial"/>
                <w:b/>
                <w:color w:val="000000"/>
                <w:kern w:val="24"/>
              </w:rPr>
              <w:t>9.5%</w:t>
            </w:r>
          </w:p>
        </w:tc>
      </w:tr>
      <w:tr w:rsidR="0066531E" w:rsidRPr="00002D26" w:rsidTr="001245FC">
        <w:trPr>
          <w:trHeight w:val="536"/>
        </w:trPr>
        <w:tc>
          <w:tcPr>
            <w:tcW w:w="1320" w:type="dxa"/>
            <w:vAlign w:val="center"/>
          </w:tcPr>
          <w:p w:rsidR="0066531E" w:rsidRPr="00002D26" w:rsidRDefault="0066531E" w:rsidP="001245FC">
            <w:pPr>
              <w:pStyle w:val="NormalWeb"/>
              <w:spacing w:before="96" w:beforeAutospacing="0" w:after="0" w:afterAutospacing="0"/>
              <w:jc w:val="both"/>
              <w:textAlignment w:val="baseline"/>
              <w:rPr>
                <w:rFonts w:ascii="Cambria" w:hAnsi="Cambria" w:cs="Arial"/>
                <w:b/>
              </w:rPr>
            </w:pPr>
            <w:r w:rsidRPr="00002D26">
              <w:rPr>
                <w:rFonts w:ascii="Cambria" w:hAnsi="Cambria" w:cs="Arial"/>
                <w:b/>
                <w:color w:val="000000"/>
                <w:kern w:val="24"/>
              </w:rPr>
              <w:t>Financial Leverage</w:t>
            </w:r>
          </w:p>
        </w:tc>
        <w:tc>
          <w:tcPr>
            <w:tcW w:w="1321" w:type="dxa"/>
            <w:vAlign w:val="center"/>
          </w:tcPr>
          <w:p w:rsidR="0066531E" w:rsidRPr="00002D26" w:rsidRDefault="0066531E" w:rsidP="001245FC">
            <w:pPr>
              <w:jc w:val="both"/>
              <w:rPr>
                <w:rFonts w:ascii="Cambria" w:hAnsi="Cambria" w:cs="Arial"/>
                <w:b/>
              </w:rPr>
            </w:pPr>
            <w:r w:rsidRPr="00002D26">
              <w:rPr>
                <w:rFonts w:ascii="Cambria" w:hAnsi="Cambria" w:cs="Arial"/>
                <w:b/>
              </w:rPr>
              <w:t>5.63</w:t>
            </w:r>
          </w:p>
        </w:tc>
        <w:tc>
          <w:tcPr>
            <w:tcW w:w="1321" w:type="dxa"/>
            <w:vAlign w:val="center"/>
          </w:tcPr>
          <w:p w:rsidR="0066531E" w:rsidRPr="00002D26" w:rsidRDefault="0066531E" w:rsidP="001245FC">
            <w:pPr>
              <w:jc w:val="both"/>
              <w:rPr>
                <w:rFonts w:ascii="Cambria" w:hAnsi="Cambria" w:cs="Arial"/>
                <w:b/>
              </w:rPr>
            </w:pPr>
            <w:r w:rsidRPr="00002D26">
              <w:rPr>
                <w:rFonts w:ascii="Cambria" w:hAnsi="Cambria" w:cs="Arial"/>
                <w:b/>
              </w:rPr>
              <w:t>5.35</w:t>
            </w:r>
          </w:p>
        </w:tc>
        <w:tc>
          <w:tcPr>
            <w:tcW w:w="1320" w:type="dxa"/>
            <w:vAlign w:val="center"/>
          </w:tcPr>
          <w:p w:rsidR="0066531E" w:rsidRPr="00002D26" w:rsidRDefault="0066531E" w:rsidP="001245FC">
            <w:pPr>
              <w:jc w:val="both"/>
              <w:rPr>
                <w:rFonts w:ascii="Cambria" w:hAnsi="Cambria" w:cs="Arial"/>
                <w:b/>
              </w:rPr>
            </w:pPr>
            <w:r w:rsidRPr="00002D26">
              <w:rPr>
                <w:rFonts w:ascii="Cambria" w:hAnsi="Cambria" w:cs="Arial"/>
                <w:b/>
              </w:rPr>
              <w:t>4.75</w:t>
            </w:r>
          </w:p>
        </w:tc>
        <w:tc>
          <w:tcPr>
            <w:tcW w:w="1321" w:type="dxa"/>
            <w:vAlign w:val="center"/>
          </w:tcPr>
          <w:p w:rsidR="0066531E" w:rsidRPr="00002D26" w:rsidRDefault="0066531E" w:rsidP="001245FC">
            <w:pPr>
              <w:jc w:val="both"/>
              <w:rPr>
                <w:rFonts w:ascii="Cambria" w:hAnsi="Cambria" w:cs="Arial"/>
                <w:b/>
              </w:rPr>
            </w:pPr>
            <w:r w:rsidRPr="00002D26">
              <w:rPr>
                <w:rFonts w:ascii="Cambria" w:hAnsi="Cambria" w:cs="Arial"/>
                <w:b/>
              </w:rPr>
              <w:t>5.43</w:t>
            </w:r>
          </w:p>
        </w:tc>
        <w:tc>
          <w:tcPr>
            <w:tcW w:w="1321" w:type="dxa"/>
            <w:vAlign w:val="center"/>
          </w:tcPr>
          <w:p w:rsidR="0066531E" w:rsidRPr="00002D26" w:rsidRDefault="0066531E" w:rsidP="001245FC">
            <w:pPr>
              <w:jc w:val="both"/>
              <w:rPr>
                <w:rFonts w:ascii="Cambria" w:hAnsi="Cambria" w:cs="Arial"/>
                <w:b/>
              </w:rPr>
            </w:pPr>
            <w:r w:rsidRPr="00002D26">
              <w:rPr>
                <w:rFonts w:ascii="Cambria" w:hAnsi="Cambria" w:cs="Arial"/>
                <w:b/>
              </w:rPr>
              <w:t>5.47</w:t>
            </w:r>
          </w:p>
        </w:tc>
        <w:tc>
          <w:tcPr>
            <w:tcW w:w="1321" w:type="dxa"/>
            <w:vAlign w:val="center"/>
          </w:tcPr>
          <w:p w:rsidR="0066531E" w:rsidRPr="00002D26" w:rsidRDefault="0066531E" w:rsidP="001245FC">
            <w:pPr>
              <w:pStyle w:val="NormalWeb"/>
              <w:spacing w:before="96" w:beforeAutospacing="0" w:after="0" w:afterAutospacing="0"/>
              <w:jc w:val="both"/>
              <w:textAlignment w:val="baseline"/>
              <w:rPr>
                <w:rFonts w:ascii="Cambria" w:hAnsi="Cambria" w:cs="Arial"/>
                <w:b/>
              </w:rPr>
            </w:pPr>
            <w:r w:rsidRPr="00002D26">
              <w:rPr>
                <w:rFonts w:ascii="Cambria" w:hAnsi="Cambria" w:cs="Arial"/>
                <w:b/>
                <w:color w:val="000000"/>
                <w:kern w:val="24"/>
              </w:rPr>
              <w:t>1.8</w:t>
            </w:r>
          </w:p>
        </w:tc>
      </w:tr>
      <w:tr w:rsidR="0066531E" w:rsidRPr="00002D26" w:rsidTr="001245FC">
        <w:trPr>
          <w:trHeight w:val="536"/>
        </w:trPr>
        <w:tc>
          <w:tcPr>
            <w:tcW w:w="1320" w:type="dxa"/>
            <w:vAlign w:val="center"/>
          </w:tcPr>
          <w:p w:rsidR="0066531E" w:rsidRPr="00002D26" w:rsidRDefault="0066531E" w:rsidP="001245FC">
            <w:pPr>
              <w:pStyle w:val="NormalWeb"/>
              <w:spacing w:before="96" w:beforeAutospacing="0" w:after="0" w:afterAutospacing="0"/>
              <w:jc w:val="both"/>
              <w:textAlignment w:val="baseline"/>
              <w:rPr>
                <w:rFonts w:ascii="Cambria" w:hAnsi="Cambria" w:cs="Arial"/>
                <w:b/>
              </w:rPr>
            </w:pPr>
            <w:r w:rsidRPr="00002D26">
              <w:rPr>
                <w:rFonts w:ascii="Cambria" w:hAnsi="Cambria" w:cs="Arial"/>
                <w:b/>
                <w:color w:val="000000"/>
                <w:kern w:val="24"/>
              </w:rPr>
              <w:t>ROE</w:t>
            </w:r>
          </w:p>
        </w:tc>
        <w:tc>
          <w:tcPr>
            <w:tcW w:w="1321" w:type="dxa"/>
            <w:vAlign w:val="center"/>
          </w:tcPr>
          <w:p w:rsidR="0066531E" w:rsidRPr="00002D26" w:rsidRDefault="0066531E" w:rsidP="001245FC">
            <w:pPr>
              <w:jc w:val="both"/>
              <w:rPr>
                <w:rFonts w:ascii="Cambria" w:hAnsi="Cambria" w:cs="Arial"/>
                <w:b/>
                <w:bCs/>
              </w:rPr>
            </w:pPr>
            <w:r w:rsidRPr="00002D26">
              <w:rPr>
                <w:rFonts w:ascii="Cambria" w:hAnsi="Cambria" w:cs="Arial"/>
                <w:b/>
                <w:bCs/>
              </w:rPr>
              <w:t>10.33%</w:t>
            </w:r>
          </w:p>
        </w:tc>
        <w:tc>
          <w:tcPr>
            <w:tcW w:w="1321" w:type="dxa"/>
            <w:vAlign w:val="center"/>
          </w:tcPr>
          <w:p w:rsidR="0066531E" w:rsidRPr="00002D26" w:rsidRDefault="0066531E" w:rsidP="001245FC">
            <w:pPr>
              <w:jc w:val="both"/>
              <w:rPr>
                <w:rFonts w:ascii="Cambria" w:hAnsi="Cambria" w:cs="Arial"/>
                <w:b/>
                <w:bCs/>
              </w:rPr>
            </w:pPr>
            <w:r w:rsidRPr="00002D26">
              <w:rPr>
                <w:rFonts w:ascii="Cambria" w:hAnsi="Cambria" w:cs="Arial"/>
                <w:b/>
                <w:bCs/>
              </w:rPr>
              <w:t>13.83%</w:t>
            </w:r>
          </w:p>
        </w:tc>
        <w:tc>
          <w:tcPr>
            <w:tcW w:w="1320" w:type="dxa"/>
            <w:vAlign w:val="center"/>
          </w:tcPr>
          <w:p w:rsidR="0066531E" w:rsidRPr="00002D26" w:rsidRDefault="0066531E" w:rsidP="001245FC">
            <w:pPr>
              <w:jc w:val="both"/>
              <w:rPr>
                <w:rFonts w:ascii="Cambria" w:hAnsi="Cambria" w:cs="Arial"/>
                <w:b/>
                <w:bCs/>
              </w:rPr>
            </w:pPr>
            <w:r w:rsidRPr="00002D26">
              <w:rPr>
                <w:rFonts w:ascii="Cambria" w:hAnsi="Cambria" w:cs="Arial"/>
                <w:b/>
                <w:bCs/>
              </w:rPr>
              <w:t>10.22%</w:t>
            </w:r>
          </w:p>
        </w:tc>
        <w:tc>
          <w:tcPr>
            <w:tcW w:w="1321" w:type="dxa"/>
            <w:vAlign w:val="center"/>
          </w:tcPr>
          <w:p w:rsidR="0066531E" w:rsidRPr="00002D26" w:rsidRDefault="0066531E" w:rsidP="001245FC">
            <w:pPr>
              <w:jc w:val="both"/>
              <w:rPr>
                <w:rFonts w:ascii="Cambria" w:hAnsi="Cambria" w:cs="Arial"/>
                <w:b/>
                <w:bCs/>
              </w:rPr>
            </w:pPr>
            <w:r w:rsidRPr="00002D26">
              <w:rPr>
                <w:rFonts w:ascii="Cambria" w:hAnsi="Cambria" w:cs="Arial"/>
                <w:b/>
                <w:bCs/>
              </w:rPr>
              <w:t>4.91%</w:t>
            </w:r>
          </w:p>
        </w:tc>
        <w:tc>
          <w:tcPr>
            <w:tcW w:w="1321" w:type="dxa"/>
            <w:vAlign w:val="center"/>
          </w:tcPr>
          <w:p w:rsidR="0066531E" w:rsidRPr="00002D26" w:rsidRDefault="0066531E" w:rsidP="001245FC">
            <w:pPr>
              <w:jc w:val="both"/>
              <w:rPr>
                <w:rFonts w:ascii="Cambria" w:hAnsi="Cambria" w:cs="Arial"/>
                <w:b/>
                <w:bCs/>
              </w:rPr>
            </w:pPr>
            <w:r w:rsidRPr="00002D26">
              <w:rPr>
                <w:rFonts w:ascii="Cambria" w:hAnsi="Cambria" w:cs="Arial"/>
                <w:b/>
                <w:bCs/>
              </w:rPr>
              <w:t>4.83%</w:t>
            </w:r>
          </w:p>
        </w:tc>
        <w:tc>
          <w:tcPr>
            <w:tcW w:w="1321" w:type="dxa"/>
            <w:vAlign w:val="center"/>
          </w:tcPr>
          <w:p w:rsidR="0066531E" w:rsidRPr="00002D26" w:rsidRDefault="0066531E" w:rsidP="001245FC">
            <w:pPr>
              <w:pStyle w:val="NormalWeb"/>
              <w:spacing w:before="96" w:beforeAutospacing="0" w:after="0" w:afterAutospacing="0"/>
              <w:jc w:val="both"/>
              <w:textAlignment w:val="baseline"/>
              <w:rPr>
                <w:rFonts w:ascii="Cambria" w:hAnsi="Cambria" w:cs="Arial"/>
                <w:b/>
              </w:rPr>
            </w:pPr>
            <w:r w:rsidRPr="00002D26">
              <w:rPr>
                <w:rFonts w:ascii="Cambria" w:hAnsi="Cambria" w:cs="Arial"/>
                <w:b/>
                <w:color w:val="000000"/>
                <w:kern w:val="24"/>
              </w:rPr>
              <w:t>17.2%</w:t>
            </w:r>
          </w:p>
        </w:tc>
      </w:tr>
    </w:tbl>
    <w:p w:rsidR="0066531E" w:rsidRPr="00002D26" w:rsidRDefault="0066531E" w:rsidP="0066531E">
      <w:pPr>
        <w:spacing w:line="360" w:lineRule="auto"/>
        <w:jc w:val="both"/>
        <w:rPr>
          <w:rFonts w:ascii="Cambria" w:hAnsi="Cambria"/>
        </w:rPr>
      </w:pPr>
    </w:p>
    <w:p w:rsidR="0066531E" w:rsidRPr="00002D26" w:rsidRDefault="0066531E" w:rsidP="0066531E">
      <w:pPr>
        <w:spacing w:line="360" w:lineRule="auto"/>
        <w:jc w:val="both"/>
        <w:rPr>
          <w:rFonts w:ascii="Cambria" w:hAnsi="Cambria"/>
        </w:rPr>
      </w:pPr>
      <w:r w:rsidRPr="00002D26">
        <w:rPr>
          <w:rFonts w:ascii="Cambria" w:hAnsi="Cambria"/>
        </w:rPr>
        <w:t xml:space="preserve">A Major setback is that ROA has gone down from </w:t>
      </w:r>
      <w:r w:rsidRPr="00002D26">
        <w:rPr>
          <w:rFonts w:ascii="Cambria" w:hAnsi="Cambria" w:cs="Arial"/>
          <w:b/>
          <w:bCs/>
        </w:rPr>
        <w:t>2.59%</w:t>
      </w:r>
      <w:r w:rsidRPr="00002D26">
        <w:rPr>
          <w:rFonts w:ascii="Cambria" w:hAnsi="Cambria"/>
        </w:rPr>
        <w:t xml:space="preserve">of the last year to </w:t>
      </w:r>
      <w:r w:rsidRPr="00002D26">
        <w:rPr>
          <w:rFonts w:ascii="Cambria" w:hAnsi="Cambria" w:cs="Arial"/>
          <w:b/>
          <w:bCs/>
        </w:rPr>
        <w:t>1.83%</w:t>
      </w:r>
      <w:r w:rsidRPr="00002D26">
        <w:rPr>
          <w:rFonts w:ascii="Cambria" w:hAnsi="Cambria"/>
        </w:rPr>
        <w:t xml:space="preserve"> of the current year, when industry average is as high as </w:t>
      </w:r>
      <w:r w:rsidRPr="00002D26">
        <w:rPr>
          <w:rFonts w:ascii="Cambria" w:hAnsi="Cambria"/>
          <w:b/>
        </w:rPr>
        <w:t>9.5%</w:t>
      </w:r>
      <w:r w:rsidRPr="00002D26">
        <w:rPr>
          <w:rFonts w:ascii="Cambria" w:hAnsi="Cambria"/>
        </w:rPr>
        <w:t xml:space="preserve">. The inefficiency is attributed to the decline in both profit margin and asset turnover ratios. </w:t>
      </w:r>
    </w:p>
    <w:p w:rsidR="0066531E" w:rsidRPr="00002D26" w:rsidRDefault="0066531E" w:rsidP="0066531E">
      <w:pPr>
        <w:spacing w:line="360" w:lineRule="auto"/>
        <w:jc w:val="both"/>
        <w:rPr>
          <w:rFonts w:ascii="Cambria" w:hAnsi="Cambria"/>
        </w:rPr>
      </w:pPr>
    </w:p>
    <w:p w:rsidR="0066531E" w:rsidRPr="00002D26" w:rsidRDefault="0066531E" w:rsidP="0066531E">
      <w:pPr>
        <w:spacing w:line="360" w:lineRule="auto"/>
        <w:jc w:val="both"/>
        <w:rPr>
          <w:rFonts w:ascii="Cambria" w:hAnsi="Cambria"/>
        </w:rPr>
      </w:pPr>
      <w:r w:rsidRPr="00002D26">
        <w:rPr>
          <w:rFonts w:ascii="Cambria" w:hAnsi="Cambria"/>
        </w:rPr>
        <w:t xml:space="preserve">Increase in depreciation is related to increase in fixed assets. Fixed asset turnover increases from </w:t>
      </w:r>
      <w:r w:rsidRPr="00E44201">
        <w:rPr>
          <w:rFonts w:ascii="Cambria" w:hAnsi="Cambria"/>
          <w:b/>
        </w:rPr>
        <w:t>4.08</w:t>
      </w:r>
      <w:r w:rsidRPr="00002D26">
        <w:rPr>
          <w:rFonts w:ascii="Cambria" w:hAnsi="Cambria"/>
        </w:rPr>
        <w:t xml:space="preserve"> to </w:t>
      </w:r>
      <w:r w:rsidRPr="00E44201">
        <w:rPr>
          <w:rFonts w:ascii="Cambria" w:hAnsi="Cambria"/>
          <w:b/>
        </w:rPr>
        <w:t>4.06</w:t>
      </w:r>
      <w:r w:rsidRPr="00002D26">
        <w:rPr>
          <w:rFonts w:ascii="Cambria" w:hAnsi="Cambria"/>
        </w:rPr>
        <w:t>. This is partially responsible for higher depreciation.</w:t>
      </w:r>
    </w:p>
    <w:p w:rsidR="0066531E" w:rsidRPr="00002D26" w:rsidRDefault="0066531E" w:rsidP="0066531E">
      <w:pPr>
        <w:spacing w:line="360" w:lineRule="auto"/>
        <w:jc w:val="both"/>
        <w:rPr>
          <w:rFonts w:ascii="Cambria" w:hAnsi="Cambria"/>
        </w:rPr>
      </w:pPr>
      <w:r w:rsidRPr="00002D26">
        <w:rPr>
          <w:rFonts w:ascii="Cambria" w:hAnsi="Cambria"/>
        </w:rPr>
        <w:lastRenderedPageBreak/>
        <w:t>Asset turnover rate declined because of decrease in sales (3.3%) and higher growth in assets (6.1%).</w:t>
      </w:r>
    </w:p>
    <w:p w:rsidR="0066531E" w:rsidRDefault="0066531E" w:rsidP="0066531E">
      <w:pPr>
        <w:spacing w:line="360" w:lineRule="auto"/>
        <w:jc w:val="both"/>
        <w:rPr>
          <w:rFonts w:ascii="Cambria" w:hAnsi="Cambria"/>
        </w:rPr>
      </w:pPr>
    </w:p>
    <w:p w:rsidR="0066531E" w:rsidRPr="00002D26" w:rsidRDefault="0066531E" w:rsidP="0066531E">
      <w:pPr>
        <w:spacing w:line="360" w:lineRule="auto"/>
        <w:jc w:val="both"/>
        <w:rPr>
          <w:rFonts w:ascii="Cambria" w:hAnsi="Cambria"/>
        </w:rPr>
      </w:pPr>
      <w:r w:rsidRPr="00002D26">
        <w:rPr>
          <w:rFonts w:ascii="Cambria" w:hAnsi="Cambria"/>
        </w:rPr>
        <w:t>The growth of current assets is 12% which by itself is high. Growth of cash is 2% and that of accounts receivable is 35% is noticeable. And the growth of inventories is 7%. This must have contributed to the inefficiency of asset management.</w:t>
      </w:r>
    </w:p>
    <w:p w:rsidR="0066531E" w:rsidRDefault="0066531E" w:rsidP="0066531E">
      <w:pPr>
        <w:spacing w:line="360" w:lineRule="auto"/>
        <w:jc w:val="both"/>
        <w:rPr>
          <w:rFonts w:ascii="Cambria" w:hAnsi="Cambria"/>
        </w:rPr>
      </w:pPr>
    </w:p>
    <w:p w:rsidR="0066531E" w:rsidRDefault="0066531E" w:rsidP="0066531E">
      <w:pPr>
        <w:spacing w:line="360" w:lineRule="auto"/>
        <w:jc w:val="both"/>
        <w:rPr>
          <w:rFonts w:ascii="Cambria" w:hAnsi="Cambria"/>
        </w:rPr>
      </w:pPr>
      <w:r w:rsidRPr="00002D26">
        <w:rPr>
          <w:rFonts w:ascii="Cambria" w:hAnsi="Cambria"/>
        </w:rPr>
        <w:t>Increase in financial leverage suggests that growth of total debt is higher than that of equity. Total debt grew by 7% and equity grew by 2%</w:t>
      </w:r>
      <w:r>
        <w:rPr>
          <w:rFonts w:ascii="Cambria" w:hAnsi="Cambria"/>
        </w:rPr>
        <w:t>.</w:t>
      </w:r>
    </w:p>
    <w:p w:rsidR="0066531E" w:rsidRPr="00DF3CDC" w:rsidRDefault="0066531E" w:rsidP="0066531E">
      <w:pPr>
        <w:spacing w:line="360" w:lineRule="auto"/>
        <w:jc w:val="center"/>
        <w:rPr>
          <w:rFonts w:ascii="Cambria" w:hAnsi="Cambria"/>
          <w:sz w:val="32"/>
          <w:szCs w:val="32"/>
          <w:u w:val="single"/>
        </w:rPr>
      </w:pPr>
      <w:r w:rsidRPr="00002D26">
        <w:rPr>
          <w:rFonts w:ascii="Cambria" w:hAnsi="Cambria"/>
        </w:rPr>
        <w:br w:type="page"/>
      </w:r>
      <w:r w:rsidRPr="00DF3CDC">
        <w:rPr>
          <w:rFonts w:ascii="Cambria" w:hAnsi="Cambria"/>
          <w:b/>
          <w:sz w:val="32"/>
          <w:szCs w:val="32"/>
          <w:u w:val="single"/>
        </w:rPr>
        <w:lastRenderedPageBreak/>
        <w:t>Ratio Analysis</w:t>
      </w:r>
    </w:p>
    <w:p w:rsidR="0066531E" w:rsidRPr="00DF3CDC" w:rsidRDefault="0066531E" w:rsidP="0066531E">
      <w:pPr>
        <w:spacing w:line="360" w:lineRule="auto"/>
        <w:jc w:val="both"/>
        <w:rPr>
          <w:rFonts w:ascii="Cambria" w:hAnsi="Cambria"/>
          <w:b/>
          <w:sz w:val="28"/>
          <w:szCs w:val="28"/>
          <w:u w:val="single"/>
        </w:rPr>
      </w:pPr>
      <w:r w:rsidRPr="00DF3CDC">
        <w:rPr>
          <w:rFonts w:ascii="Cambria" w:hAnsi="Cambria"/>
          <w:b/>
          <w:sz w:val="28"/>
          <w:szCs w:val="28"/>
          <w:u w:val="single"/>
        </w:rPr>
        <w:t>Current Ratio:</w:t>
      </w:r>
    </w:p>
    <w:p w:rsidR="0066531E" w:rsidRPr="00002D26" w:rsidRDefault="0066531E" w:rsidP="0066531E">
      <w:pPr>
        <w:spacing w:line="360" w:lineRule="auto"/>
        <w:jc w:val="both"/>
        <w:rPr>
          <w:rFonts w:ascii="Cambria" w:hAnsi="Cambria"/>
          <w:b/>
        </w:rPr>
      </w:pPr>
      <w:r w:rsidRPr="00002D26">
        <w:rPr>
          <w:rFonts w:ascii="Cambria" w:hAnsi="Cambria"/>
          <w:b/>
        </w:rPr>
        <w:t>Current Ratio = Current Assets / Current Liabilities</w:t>
      </w:r>
    </w:p>
    <w:p w:rsidR="0066531E" w:rsidRPr="00002D26" w:rsidRDefault="0066531E" w:rsidP="0066531E">
      <w:pPr>
        <w:spacing w:line="360" w:lineRule="auto"/>
        <w:jc w:val="both"/>
        <w:rPr>
          <w:rFonts w:ascii="Cambria" w:hAnsi="Cambria"/>
        </w:rPr>
      </w:pPr>
      <w:r w:rsidRPr="00002D26">
        <w:rPr>
          <w:rFonts w:ascii="Cambria" w:hAnsi="Cambria"/>
        </w:rPr>
        <w:t>The following Graph shows the current ratio data of the 2 companies-</w:t>
      </w:r>
    </w:p>
    <w:p w:rsidR="0066531E" w:rsidRPr="00002D26" w:rsidRDefault="0066531E" w:rsidP="0066531E">
      <w:pPr>
        <w:keepNext/>
        <w:spacing w:line="360" w:lineRule="auto"/>
        <w:jc w:val="both"/>
        <w:rPr>
          <w:rFonts w:ascii="Cambria" w:hAnsi="Cambria"/>
        </w:rPr>
      </w:pPr>
      <w:r>
        <w:rPr>
          <w:rFonts w:ascii="Cambria" w:hAnsi="Cambria"/>
          <w:noProof/>
          <w:lang w:bidi="bn-BD"/>
        </w:rPr>
        <w:drawing>
          <wp:inline distT="0" distB="0" distL="0" distR="0">
            <wp:extent cx="4929306" cy="2095448"/>
            <wp:effectExtent l="13081" t="6402" r="9343"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531E" w:rsidRPr="00A3666A" w:rsidRDefault="0066531E" w:rsidP="0066531E">
      <w:pPr>
        <w:pStyle w:val="Caption"/>
        <w:jc w:val="both"/>
        <w:rPr>
          <w:rFonts w:ascii="Cambria" w:hAnsi="Cambria"/>
          <w:bCs w:val="0"/>
          <w:sz w:val="18"/>
          <w:szCs w:val="18"/>
        </w:rPr>
      </w:pPr>
      <w:r w:rsidRPr="00A3666A">
        <w:rPr>
          <w:rFonts w:ascii="Cambria" w:hAnsi="Cambria"/>
          <w:sz w:val="18"/>
          <w:szCs w:val="18"/>
        </w:rPr>
        <w:t xml:space="preserve">Figure </w:t>
      </w:r>
      <w:r w:rsidR="002A20DB" w:rsidRPr="00A3666A">
        <w:rPr>
          <w:rFonts w:ascii="Cambria" w:hAnsi="Cambria"/>
          <w:sz w:val="18"/>
          <w:szCs w:val="18"/>
        </w:rPr>
        <w:fldChar w:fldCharType="begin"/>
      </w:r>
      <w:r w:rsidRPr="00A3666A">
        <w:rPr>
          <w:rFonts w:ascii="Cambria" w:hAnsi="Cambria"/>
          <w:sz w:val="18"/>
          <w:szCs w:val="18"/>
        </w:rPr>
        <w:instrText xml:space="preserve"> SEQ Figure \* ARABIC </w:instrText>
      </w:r>
      <w:r w:rsidR="002A20DB" w:rsidRPr="00A3666A">
        <w:rPr>
          <w:rFonts w:ascii="Cambria" w:hAnsi="Cambria"/>
          <w:sz w:val="18"/>
          <w:szCs w:val="18"/>
        </w:rPr>
        <w:fldChar w:fldCharType="separate"/>
      </w:r>
      <w:r>
        <w:rPr>
          <w:rFonts w:ascii="Cambria" w:hAnsi="Cambria"/>
          <w:noProof/>
          <w:sz w:val="18"/>
          <w:szCs w:val="18"/>
        </w:rPr>
        <w:t>4</w:t>
      </w:r>
      <w:r w:rsidR="002A20DB" w:rsidRPr="00A3666A">
        <w:rPr>
          <w:rFonts w:ascii="Cambria" w:hAnsi="Cambria"/>
          <w:sz w:val="18"/>
          <w:szCs w:val="18"/>
        </w:rPr>
        <w:fldChar w:fldCharType="end"/>
      </w:r>
      <w:r w:rsidRPr="00A3666A">
        <w:rPr>
          <w:rFonts w:ascii="Cambria" w:hAnsi="Cambria"/>
          <w:sz w:val="18"/>
          <w:szCs w:val="18"/>
        </w:rPr>
        <w:t xml:space="preserve">: </w:t>
      </w:r>
      <w:r w:rsidRPr="00A3666A">
        <w:rPr>
          <w:rFonts w:ascii="Cambria" w:hAnsi="Cambria"/>
          <w:bCs w:val="0"/>
          <w:sz w:val="18"/>
          <w:szCs w:val="18"/>
        </w:rPr>
        <w:t>Current Ratios of Bangas &amp; Olympic for the years 2005-2009</w:t>
      </w:r>
    </w:p>
    <w:p w:rsidR="0066531E" w:rsidRPr="00002D26" w:rsidRDefault="0066531E" w:rsidP="0066531E">
      <w:pPr>
        <w:jc w:val="both"/>
      </w:pPr>
    </w:p>
    <w:p w:rsidR="0066531E" w:rsidRPr="009B0366" w:rsidRDefault="0066531E" w:rsidP="0066531E">
      <w:pPr>
        <w:tabs>
          <w:tab w:val="left" w:pos="1680"/>
        </w:tabs>
        <w:spacing w:line="360" w:lineRule="auto"/>
        <w:jc w:val="both"/>
        <w:rPr>
          <w:rFonts w:ascii="Cambria" w:hAnsi="Cambria"/>
          <w:b/>
          <w:u w:val="single"/>
        </w:rPr>
      </w:pPr>
      <w:r w:rsidRPr="009B0366">
        <w:rPr>
          <w:rFonts w:ascii="Cambria" w:hAnsi="Cambria"/>
          <w:b/>
          <w:u w:val="single"/>
        </w:rPr>
        <w:t xml:space="preserve">Bench mark analysis: </w:t>
      </w:r>
    </w:p>
    <w:p w:rsidR="0066531E" w:rsidRPr="00002D26" w:rsidRDefault="0066531E" w:rsidP="0066531E">
      <w:pPr>
        <w:tabs>
          <w:tab w:val="left" w:pos="1680"/>
        </w:tabs>
        <w:spacing w:line="360" w:lineRule="auto"/>
        <w:jc w:val="both"/>
        <w:rPr>
          <w:rFonts w:ascii="Cambria" w:hAnsi="Cambria"/>
          <w:u w:val="single"/>
        </w:rPr>
      </w:pPr>
      <w:r w:rsidRPr="00002D26">
        <w:rPr>
          <w:rFonts w:ascii="Cambria" w:hAnsi="Cambria"/>
        </w:rPr>
        <w:t xml:space="preserve">Through all the time periods the current Ratio of Bangas remains lower than benchmark Ratio of 2. </w:t>
      </w:r>
    </w:p>
    <w:p w:rsidR="0066531E" w:rsidRPr="009B0366" w:rsidRDefault="0066531E" w:rsidP="0066531E">
      <w:pPr>
        <w:tabs>
          <w:tab w:val="left" w:pos="1680"/>
        </w:tabs>
        <w:spacing w:line="360" w:lineRule="auto"/>
        <w:jc w:val="both"/>
        <w:rPr>
          <w:rFonts w:ascii="Cambria" w:hAnsi="Cambria"/>
          <w:b/>
          <w:u w:val="single"/>
        </w:rPr>
      </w:pPr>
      <w:r w:rsidRPr="009B0366">
        <w:rPr>
          <w:rFonts w:ascii="Cambria" w:hAnsi="Cambria"/>
          <w:b/>
          <w:u w:val="single"/>
        </w:rPr>
        <w:t>Time series analysis and Cross section analysis:</w:t>
      </w:r>
      <w:r w:rsidRPr="009B0366">
        <w:rPr>
          <w:rFonts w:ascii="Cambria" w:hAnsi="Cambria"/>
          <w:b/>
        </w:rPr>
        <w:t xml:space="preserve"> </w:t>
      </w:r>
    </w:p>
    <w:p w:rsidR="0066531E" w:rsidRPr="00002D26" w:rsidRDefault="0066531E" w:rsidP="0066531E">
      <w:pPr>
        <w:spacing w:line="360" w:lineRule="auto"/>
        <w:jc w:val="both"/>
        <w:rPr>
          <w:rFonts w:ascii="Cambria" w:hAnsi="Cambria"/>
        </w:rPr>
      </w:pPr>
      <w:r w:rsidRPr="00002D26">
        <w:rPr>
          <w:rFonts w:ascii="Cambria" w:hAnsi="Cambria"/>
        </w:rPr>
        <w:t>Even current ratio is lower than the compared company Olympic ltd.</w:t>
      </w:r>
    </w:p>
    <w:p w:rsidR="0066531E" w:rsidRPr="00002D26" w:rsidRDefault="0066531E" w:rsidP="0066531E">
      <w:pPr>
        <w:spacing w:line="360" w:lineRule="auto"/>
        <w:jc w:val="both"/>
        <w:rPr>
          <w:rFonts w:ascii="Cambria" w:hAnsi="Cambria"/>
          <w:b/>
        </w:rPr>
      </w:pPr>
    </w:p>
    <w:p w:rsidR="00DF3CDC" w:rsidRDefault="00DF3CDC" w:rsidP="0066531E">
      <w:pPr>
        <w:spacing w:line="360" w:lineRule="auto"/>
        <w:jc w:val="both"/>
        <w:rPr>
          <w:rFonts w:ascii="Cambria" w:hAnsi="Cambria"/>
          <w:b/>
          <w:u w:val="single"/>
        </w:rPr>
      </w:pPr>
    </w:p>
    <w:p w:rsidR="00DF3CDC" w:rsidRDefault="00DF3CDC" w:rsidP="0066531E">
      <w:pPr>
        <w:spacing w:line="360" w:lineRule="auto"/>
        <w:jc w:val="both"/>
        <w:rPr>
          <w:rFonts w:ascii="Cambria" w:hAnsi="Cambria"/>
          <w:b/>
          <w:u w:val="single"/>
        </w:rPr>
      </w:pPr>
    </w:p>
    <w:p w:rsidR="00DF3CDC" w:rsidRDefault="00DF3CDC" w:rsidP="0066531E">
      <w:pPr>
        <w:spacing w:line="360" w:lineRule="auto"/>
        <w:jc w:val="both"/>
        <w:rPr>
          <w:rFonts w:ascii="Cambria" w:hAnsi="Cambria"/>
          <w:b/>
          <w:u w:val="single"/>
        </w:rPr>
      </w:pPr>
    </w:p>
    <w:p w:rsidR="00DF3CDC" w:rsidRDefault="00DF3CDC" w:rsidP="0066531E">
      <w:pPr>
        <w:spacing w:line="360" w:lineRule="auto"/>
        <w:jc w:val="both"/>
        <w:rPr>
          <w:rFonts w:ascii="Cambria" w:hAnsi="Cambria"/>
          <w:b/>
          <w:u w:val="single"/>
        </w:rPr>
      </w:pPr>
    </w:p>
    <w:p w:rsidR="00DF3CDC" w:rsidRDefault="00DF3CDC" w:rsidP="0066531E">
      <w:pPr>
        <w:spacing w:line="360" w:lineRule="auto"/>
        <w:jc w:val="both"/>
        <w:rPr>
          <w:rFonts w:ascii="Cambria" w:hAnsi="Cambria"/>
          <w:b/>
          <w:u w:val="single"/>
        </w:rPr>
      </w:pPr>
    </w:p>
    <w:p w:rsidR="00DF3CDC" w:rsidRDefault="00DF3CDC" w:rsidP="0066531E">
      <w:pPr>
        <w:spacing w:line="360" w:lineRule="auto"/>
        <w:jc w:val="both"/>
        <w:rPr>
          <w:rFonts w:ascii="Cambria" w:hAnsi="Cambria"/>
          <w:b/>
          <w:u w:val="single"/>
        </w:rPr>
      </w:pPr>
    </w:p>
    <w:p w:rsidR="0066531E" w:rsidRPr="00002D26" w:rsidRDefault="0066531E" w:rsidP="0066531E">
      <w:pPr>
        <w:spacing w:line="360" w:lineRule="auto"/>
        <w:jc w:val="both"/>
        <w:rPr>
          <w:rFonts w:ascii="Cambria" w:hAnsi="Cambria"/>
          <w:b/>
          <w:u w:val="single"/>
        </w:rPr>
      </w:pPr>
      <w:r w:rsidRPr="00002D26">
        <w:rPr>
          <w:rFonts w:ascii="Cambria" w:hAnsi="Cambria"/>
          <w:b/>
          <w:u w:val="single"/>
        </w:rPr>
        <w:lastRenderedPageBreak/>
        <w:t>Quick Ratio:</w:t>
      </w:r>
    </w:p>
    <w:p w:rsidR="0066531E" w:rsidRPr="00002D26" w:rsidRDefault="0066531E" w:rsidP="0066531E">
      <w:pPr>
        <w:spacing w:line="360" w:lineRule="auto"/>
        <w:jc w:val="both"/>
        <w:rPr>
          <w:rFonts w:ascii="Cambria" w:hAnsi="Cambria"/>
          <w:b/>
        </w:rPr>
      </w:pPr>
      <w:r w:rsidRPr="00002D26">
        <w:rPr>
          <w:rFonts w:ascii="Cambria" w:hAnsi="Cambria"/>
          <w:b/>
        </w:rPr>
        <w:t>Quick Ratio= (Current Assets- Inventories)/ Current Liabilities</w:t>
      </w:r>
    </w:p>
    <w:p w:rsidR="0066531E" w:rsidRPr="00002D26" w:rsidRDefault="0066531E" w:rsidP="0066531E">
      <w:pPr>
        <w:spacing w:line="360" w:lineRule="auto"/>
        <w:jc w:val="both"/>
        <w:rPr>
          <w:rFonts w:ascii="Cambria" w:hAnsi="Cambria"/>
        </w:rPr>
      </w:pPr>
      <w:r w:rsidRPr="00002D26">
        <w:rPr>
          <w:rFonts w:ascii="Cambria" w:hAnsi="Cambria"/>
        </w:rPr>
        <w:t>The following Graph shows the quick ratio data of the two companies</w:t>
      </w:r>
    </w:p>
    <w:p w:rsidR="0066531E" w:rsidRPr="00002D26" w:rsidRDefault="0066531E" w:rsidP="0066531E">
      <w:pPr>
        <w:spacing w:line="360" w:lineRule="auto"/>
        <w:jc w:val="both"/>
        <w:rPr>
          <w:rFonts w:ascii="Cambria" w:hAnsi="Cambria"/>
          <w:noProof/>
        </w:rPr>
      </w:pPr>
      <w:r>
        <w:rPr>
          <w:rFonts w:ascii="Cambria" w:hAnsi="Cambria"/>
          <w:noProof/>
          <w:lang w:bidi="bn-BD"/>
        </w:rPr>
        <w:drawing>
          <wp:inline distT="0" distB="0" distL="0" distR="0">
            <wp:extent cx="4731520" cy="2119355"/>
            <wp:effectExtent l="12610" t="4818" r="6305" b="1807"/>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531E" w:rsidRPr="00A3666A" w:rsidRDefault="0066531E" w:rsidP="0066531E">
      <w:pPr>
        <w:pStyle w:val="Caption"/>
        <w:jc w:val="both"/>
        <w:rPr>
          <w:rFonts w:ascii="Cambria" w:hAnsi="Cambria"/>
          <w:sz w:val="18"/>
          <w:szCs w:val="18"/>
        </w:rPr>
      </w:pPr>
      <w:r w:rsidRPr="00A3666A">
        <w:rPr>
          <w:rFonts w:ascii="Cambria" w:hAnsi="Cambria"/>
          <w:sz w:val="18"/>
          <w:szCs w:val="18"/>
        </w:rPr>
        <w:t xml:space="preserve">Figure 5: </w:t>
      </w:r>
      <w:r w:rsidRPr="00A3666A">
        <w:rPr>
          <w:rFonts w:ascii="Cambria" w:hAnsi="Cambria"/>
          <w:bCs w:val="0"/>
          <w:sz w:val="18"/>
          <w:szCs w:val="18"/>
        </w:rPr>
        <w:t>Quick Ratios of Bangas &amp; Olympic for the years 2005-2009</w:t>
      </w:r>
    </w:p>
    <w:p w:rsidR="0066531E" w:rsidRPr="00002D26" w:rsidRDefault="0066531E" w:rsidP="0066531E">
      <w:pPr>
        <w:pStyle w:val="ListParagraph"/>
        <w:spacing w:line="360" w:lineRule="auto"/>
        <w:ind w:left="0"/>
        <w:jc w:val="both"/>
        <w:rPr>
          <w:rFonts w:ascii="Cambria" w:hAnsi="Cambria"/>
          <w:b/>
          <w:sz w:val="24"/>
          <w:szCs w:val="24"/>
          <w:u w:val="single"/>
        </w:rPr>
      </w:pPr>
    </w:p>
    <w:p w:rsidR="0066531E" w:rsidRDefault="0066531E" w:rsidP="0066531E">
      <w:pPr>
        <w:pStyle w:val="ListParagraph"/>
        <w:spacing w:line="360" w:lineRule="auto"/>
        <w:ind w:left="0"/>
        <w:jc w:val="both"/>
        <w:rPr>
          <w:rFonts w:ascii="Cambria" w:hAnsi="Cambria"/>
          <w:b/>
          <w:sz w:val="24"/>
          <w:szCs w:val="24"/>
          <w:u w:val="single"/>
        </w:rPr>
      </w:pPr>
    </w:p>
    <w:p w:rsidR="0066531E" w:rsidRPr="009B0366" w:rsidRDefault="0066531E" w:rsidP="0066531E">
      <w:pPr>
        <w:pStyle w:val="ListParagraph"/>
        <w:spacing w:line="360" w:lineRule="auto"/>
        <w:ind w:left="0"/>
        <w:jc w:val="both"/>
        <w:rPr>
          <w:rFonts w:ascii="Cambria" w:hAnsi="Cambria"/>
          <w:b/>
          <w:sz w:val="24"/>
          <w:szCs w:val="24"/>
          <w:u w:val="single"/>
        </w:rPr>
      </w:pPr>
      <w:r w:rsidRPr="009B0366">
        <w:rPr>
          <w:rFonts w:ascii="Cambria" w:hAnsi="Cambria"/>
          <w:b/>
          <w:sz w:val="24"/>
          <w:szCs w:val="24"/>
          <w:u w:val="single"/>
        </w:rPr>
        <w:t>Bench mark Ratio:</w:t>
      </w:r>
    </w:p>
    <w:p w:rsidR="0066531E" w:rsidRPr="00002D26" w:rsidRDefault="0066531E" w:rsidP="0066531E">
      <w:pPr>
        <w:pStyle w:val="ListParagraph"/>
        <w:spacing w:line="360" w:lineRule="auto"/>
        <w:ind w:left="0"/>
        <w:jc w:val="both"/>
        <w:rPr>
          <w:rFonts w:ascii="Cambria" w:hAnsi="Cambria"/>
          <w:sz w:val="24"/>
          <w:szCs w:val="24"/>
        </w:rPr>
      </w:pPr>
      <w:r w:rsidRPr="00002D26">
        <w:rPr>
          <w:rFonts w:ascii="Cambria" w:hAnsi="Cambria"/>
          <w:sz w:val="24"/>
          <w:szCs w:val="24"/>
        </w:rPr>
        <w:t>Quick ratio of Bangas is lower than the bench mark, where as Bangas has a lower quick ratio than bench mark ratio 1</w:t>
      </w:r>
    </w:p>
    <w:p w:rsidR="0066531E" w:rsidRPr="009B0366" w:rsidRDefault="0066531E" w:rsidP="0066531E">
      <w:pPr>
        <w:pStyle w:val="ListParagraph"/>
        <w:spacing w:line="360" w:lineRule="auto"/>
        <w:ind w:left="0"/>
        <w:jc w:val="both"/>
        <w:rPr>
          <w:rFonts w:ascii="Cambria" w:hAnsi="Cambria"/>
          <w:b/>
          <w:sz w:val="24"/>
          <w:szCs w:val="24"/>
          <w:u w:val="single"/>
        </w:rPr>
      </w:pPr>
      <w:r w:rsidRPr="009B0366">
        <w:rPr>
          <w:rFonts w:ascii="Cambria" w:hAnsi="Cambria"/>
          <w:b/>
          <w:sz w:val="24"/>
          <w:szCs w:val="24"/>
          <w:u w:val="single"/>
        </w:rPr>
        <w:t>Time series analysis and Cross section analysis:</w:t>
      </w:r>
      <w:r w:rsidRPr="009B0366">
        <w:rPr>
          <w:rFonts w:ascii="Cambria" w:hAnsi="Cambria"/>
          <w:b/>
          <w:sz w:val="24"/>
          <w:szCs w:val="24"/>
        </w:rPr>
        <w:t xml:space="preserve"> </w:t>
      </w:r>
    </w:p>
    <w:p w:rsidR="0066531E" w:rsidRPr="00002D26" w:rsidRDefault="0066531E" w:rsidP="0066531E">
      <w:pPr>
        <w:pStyle w:val="ListParagraph"/>
        <w:spacing w:line="360" w:lineRule="auto"/>
        <w:ind w:left="0"/>
        <w:jc w:val="both"/>
        <w:rPr>
          <w:rFonts w:ascii="Cambria" w:hAnsi="Cambria"/>
          <w:sz w:val="24"/>
          <w:szCs w:val="24"/>
        </w:rPr>
      </w:pPr>
      <w:r w:rsidRPr="00002D26">
        <w:rPr>
          <w:rFonts w:ascii="Cambria" w:hAnsi="Cambria"/>
          <w:sz w:val="24"/>
          <w:szCs w:val="24"/>
        </w:rPr>
        <w:t>The firm has a steady liquidity level whereas the compared firm has a very fluctuating pattern.</w:t>
      </w:r>
    </w:p>
    <w:p w:rsidR="0066531E" w:rsidRPr="00002D26" w:rsidRDefault="0066531E" w:rsidP="0066531E">
      <w:pPr>
        <w:pStyle w:val="ListParagraph"/>
        <w:spacing w:line="360" w:lineRule="auto"/>
        <w:ind w:left="0"/>
        <w:jc w:val="both"/>
        <w:rPr>
          <w:rFonts w:ascii="Cambria" w:hAnsi="Cambria"/>
          <w:sz w:val="24"/>
          <w:szCs w:val="24"/>
        </w:rPr>
      </w:pPr>
    </w:p>
    <w:p w:rsidR="0066531E" w:rsidRPr="00384862" w:rsidRDefault="0066531E" w:rsidP="0066531E">
      <w:pPr>
        <w:pStyle w:val="ListParagraph"/>
        <w:spacing w:line="360" w:lineRule="auto"/>
        <w:ind w:left="0"/>
        <w:jc w:val="both"/>
        <w:rPr>
          <w:rFonts w:ascii="Cambria" w:hAnsi="Cambria"/>
          <w:b/>
          <w:sz w:val="24"/>
          <w:szCs w:val="24"/>
          <w:u w:val="single"/>
        </w:rPr>
      </w:pPr>
      <w:r w:rsidRPr="00384862">
        <w:rPr>
          <w:rFonts w:ascii="Cambria" w:hAnsi="Cambria"/>
          <w:b/>
          <w:sz w:val="24"/>
          <w:szCs w:val="24"/>
          <w:u w:val="single"/>
        </w:rPr>
        <w:t>Overall comment on liquidity ratio:</w:t>
      </w:r>
    </w:p>
    <w:p w:rsidR="0066531E" w:rsidRPr="00384862" w:rsidRDefault="0066531E" w:rsidP="0066531E">
      <w:pPr>
        <w:pStyle w:val="ListParagraph"/>
        <w:spacing w:line="360" w:lineRule="auto"/>
        <w:ind w:left="0"/>
        <w:jc w:val="both"/>
        <w:rPr>
          <w:rFonts w:ascii="Cambria" w:hAnsi="Cambria"/>
          <w:b/>
          <w:sz w:val="24"/>
          <w:szCs w:val="24"/>
        </w:rPr>
      </w:pPr>
      <w:r w:rsidRPr="00384862">
        <w:rPr>
          <w:rFonts w:ascii="Cambria" w:hAnsi="Cambria"/>
          <w:b/>
          <w:sz w:val="24"/>
          <w:szCs w:val="24"/>
        </w:rPr>
        <w:t xml:space="preserve">The firm needs to increase its current assets and cash balance, in particular, which has significantly gone down in the current year. Reduction of credit purchase can also be suggested. A reason for low liquidity is that sales have decreased by 3.3% in the current year which must be responsible for poor cash balance and poor accounts receivables. </w:t>
      </w:r>
    </w:p>
    <w:p w:rsidR="0066531E" w:rsidRPr="00002D26" w:rsidRDefault="0066531E" w:rsidP="0066531E">
      <w:pPr>
        <w:pStyle w:val="ListParagraph"/>
        <w:spacing w:line="360" w:lineRule="auto"/>
        <w:ind w:left="0"/>
        <w:jc w:val="both"/>
        <w:rPr>
          <w:rFonts w:ascii="Cambria" w:hAnsi="Cambria"/>
          <w:sz w:val="24"/>
          <w:szCs w:val="24"/>
        </w:rPr>
      </w:pPr>
    </w:p>
    <w:p w:rsidR="00A05311" w:rsidRDefault="00A05311" w:rsidP="0066531E">
      <w:pPr>
        <w:spacing w:line="360" w:lineRule="auto"/>
        <w:jc w:val="both"/>
        <w:rPr>
          <w:rFonts w:ascii="Cambria" w:hAnsi="Cambria"/>
          <w:b/>
          <w:u w:val="single"/>
        </w:rPr>
      </w:pPr>
    </w:p>
    <w:p w:rsidR="00A05311" w:rsidRDefault="00A05311" w:rsidP="0066531E">
      <w:pPr>
        <w:spacing w:line="360" w:lineRule="auto"/>
        <w:jc w:val="both"/>
        <w:rPr>
          <w:rFonts w:ascii="Cambria" w:hAnsi="Cambria"/>
          <w:b/>
          <w:u w:val="single"/>
        </w:rPr>
      </w:pPr>
    </w:p>
    <w:p w:rsidR="0066531E" w:rsidRPr="00002D26" w:rsidRDefault="0066531E" w:rsidP="0066531E">
      <w:pPr>
        <w:spacing w:line="360" w:lineRule="auto"/>
        <w:jc w:val="both"/>
        <w:rPr>
          <w:rFonts w:ascii="Cambria" w:hAnsi="Cambria"/>
          <w:b/>
          <w:u w:val="single"/>
        </w:rPr>
      </w:pPr>
      <w:r w:rsidRPr="00002D26">
        <w:rPr>
          <w:rFonts w:ascii="Cambria" w:hAnsi="Cambria"/>
          <w:b/>
          <w:u w:val="single"/>
        </w:rPr>
        <w:lastRenderedPageBreak/>
        <w:t>Inventory Turnover Ratio:</w:t>
      </w:r>
    </w:p>
    <w:p w:rsidR="0066531E" w:rsidRPr="00002D26" w:rsidRDefault="0066531E" w:rsidP="0066531E">
      <w:pPr>
        <w:spacing w:line="360" w:lineRule="auto"/>
        <w:jc w:val="both"/>
        <w:rPr>
          <w:rFonts w:ascii="Cambria" w:hAnsi="Cambria"/>
          <w:b/>
          <w:iCs/>
        </w:rPr>
      </w:pPr>
      <w:r w:rsidRPr="00002D26">
        <w:rPr>
          <w:rFonts w:ascii="Cambria" w:hAnsi="Cambria"/>
          <w:b/>
          <w:iCs/>
        </w:rPr>
        <w:t>Inventory turnover ratio= Cost of goods sold /Inventories</w:t>
      </w:r>
    </w:p>
    <w:p w:rsidR="0066531E" w:rsidRPr="00002D26" w:rsidRDefault="0066531E" w:rsidP="0066531E">
      <w:pPr>
        <w:spacing w:line="360" w:lineRule="auto"/>
        <w:jc w:val="both"/>
        <w:rPr>
          <w:rFonts w:ascii="Cambria" w:hAnsi="Cambria"/>
        </w:rPr>
      </w:pPr>
      <w:r w:rsidRPr="00002D26">
        <w:rPr>
          <w:rFonts w:ascii="Cambria" w:hAnsi="Cambria"/>
        </w:rPr>
        <w:t>The following Graph shows the inventory turnover ratio data of the 2 companies-</w:t>
      </w:r>
    </w:p>
    <w:p w:rsidR="0066531E" w:rsidRPr="00002D26" w:rsidRDefault="0066531E" w:rsidP="0066531E">
      <w:pPr>
        <w:jc w:val="both"/>
        <w:rPr>
          <w:rFonts w:ascii="Cambria" w:hAnsi="Cambria"/>
          <w:noProof/>
        </w:rPr>
      </w:pPr>
      <w:r>
        <w:rPr>
          <w:rFonts w:ascii="Cambria" w:hAnsi="Cambria"/>
          <w:noProof/>
          <w:lang w:bidi="bn-BD"/>
        </w:rPr>
        <w:drawing>
          <wp:inline distT="0" distB="0" distL="0" distR="0">
            <wp:extent cx="4707587" cy="2262955"/>
            <wp:effectExtent l="12633" t="5265" r="6085"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531E" w:rsidRPr="00A3666A" w:rsidRDefault="0066531E" w:rsidP="0066531E">
      <w:pPr>
        <w:pStyle w:val="Caption"/>
        <w:jc w:val="both"/>
        <w:rPr>
          <w:rFonts w:ascii="Cambria" w:hAnsi="Cambria"/>
          <w:bCs w:val="0"/>
          <w:sz w:val="18"/>
          <w:szCs w:val="18"/>
        </w:rPr>
      </w:pPr>
      <w:r w:rsidRPr="00A3666A">
        <w:rPr>
          <w:rFonts w:ascii="Cambria" w:hAnsi="Cambria"/>
          <w:sz w:val="18"/>
          <w:szCs w:val="18"/>
        </w:rPr>
        <w:t xml:space="preserve">Figure 6: </w:t>
      </w:r>
      <w:r w:rsidRPr="00A3666A">
        <w:rPr>
          <w:rFonts w:ascii="Cambria" w:hAnsi="Cambria"/>
          <w:bCs w:val="0"/>
          <w:sz w:val="18"/>
          <w:szCs w:val="18"/>
        </w:rPr>
        <w:t>Inventory turnover Ratios of Bangas &amp; Olympic for the years 2005-2009</w:t>
      </w:r>
    </w:p>
    <w:p w:rsidR="0066531E" w:rsidRDefault="0066531E" w:rsidP="0066531E">
      <w:pPr>
        <w:spacing w:line="360" w:lineRule="auto"/>
        <w:jc w:val="both"/>
        <w:rPr>
          <w:rFonts w:ascii="Cambria" w:hAnsi="Cambria"/>
          <w:b/>
          <w:u w:val="single"/>
        </w:rPr>
      </w:pPr>
      <w:r w:rsidRPr="00002D26">
        <w:rPr>
          <w:rFonts w:ascii="Cambria" w:hAnsi="Cambria"/>
          <w:b/>
          <w:u w:val="single"/>
        </w:rPr>
        <w:t>Comments</w:t>
      </w:r>
    </w:p>
    <w:p w:rsidR="0066531E" w:rsidRPr="00384862" w:rsidRDefault="0066531E" w:rsidP="0066531E">
      <w:pPr>
        <w:spacing w:line="360" w:lineRule="auto"/>
        <w:jc w:val="both"/>
        <w:rPr>
          <w:rFonts w:ascii="Cambria" w:hAnsi="Cambria"/>
        </w:rPr>
      </w:pPr>
      <w:r w:rsidRPr="00002D26">
        <w:rPr>
          <w:rFonts w:ascii="Cambria" w:hAnsi="Cambria"/>
        </w:rPr>
        <w:t>Bangas’s inventory is turned over 2.3 times per year, which is considerably lower than the comparing firm Olympic Ltd of 8.02times.</w:t>
      </w:r>
      <w:r>
        <w:rPr>
          <w:rFonts w:ascii="Cambria" w:hAnsi="Cambria"/>
        </w:rPr>
        <w:t xml:space="preserve"> </w:t>
      </w:r>
      <w:r w:rsidRPr="00002D26">
        <w:rPr>
          <w:rFonts w:ascii="Cambria" w:hAnsi="Cambria"/>
        </w:rPr>
        <w:t>As low as better it is. It indicates how many day inventories are kept, just to sell over the years the inventory turnover ratio is increasing as a result no of days inventory is outstanding is also reduce over the years.</w:t>
      </w:r>
    </w:p>
    <w:p w:rsidR="0066531E" w:rsidRPr="00002D26" w:rsidRDefault="0066531E" w:rsidP="0066531E">
      <w:pPr>
        <w:spacing w:line="360" w:lineRule="auto"/>
        <w:jc w:val="both"/>
        <w:rPr>
          <w:rFonts w:ascii="Cambria" w:hAnsi="Cambria"/>
        </w:rPr>
      </w:pPr>
      <w:r w:rsidRPr="00002D26">
        <w:rPr>
          <w:rFonts w:ascii="Cambria" w:hAnsi="Cambria"/>
        </w:rPr>
        <w:t xml:space="preserve">It might be holding excessive stock of inventory which indeed is unproductive. </w:t>
      </w:r>
    </w:p>
    <w:p w:rsidR="0066531E" w:rsidRPr="00002D26" w:rsidRDefault="0066531E" w:rsidP="0066531E">
      <w:pPr>
        <w:spacing w:line="360" w:lineRule="auto"/>
        <w:jc w:val="both"/>
        <w:rPr>
          <w:rFonts w:ascii="Cambria" w:hAnsi="Cambria"/>
          <w:b/>
          <w:u w:val="single"/>
        </w:rPr>
      </w:pPr>
      <w:r w:rsidRPr="00002D26">
        <w:rPr>
          <w:rFonts w:ascii="Cambria" w:hAnsi="Cambria"/>
          <w:b/>
          <w:u w:val="single"/>
        </w:rPr>
        <w:t>Days Sales Outstanding (DSO):</w:t>
      </w:r>
    </w:p>
    <w:p w:rsidR="0066531E" w:rsidRPr="00002D26" w:rsidRDefault="0066531E" w:rsidP="0066531E">
      <w:pPr>
        <w:spacing w:line="360" w:lineRule="auto"/>
        <w:jc w:val="both"/>
        <w:rPr>
          <w:rFonts w:ascii="Cambria" w:hAnsi="Cambria"/>
          <w:b/>
        </w:rPr>
      </w:pPr>
      <w:r w:rsidRPr="00002D26">
        <w:rPr>
          <w:rFonts w:ascii="Cambria" w:hAnsi="Cambria"/>
          <w:b/>
        </w:rPr>
        <w:t>Days Sales Outstanding (DSO) =Receivables/Average sales per day</w:t>
      </w:r>
    </w:p>
    <w:p w:rsidR="0066531E" w:rsidRPr="00002D26" w:rsidRDefault="0066531E" w:rsidP="0066531E">
      <w:pPr>
        <w:spacing w:line="360" w:lineRule="auto"/>
        <w:ind w:left="720"/>
        <w:jc w:val="both"/>
        <w:rPr>
          <w:rFonts w:ascii="Cambria" w:hAnsi="Cambria"/>
          <w:b/>
        </w:rPr>
      </w:pPr>
      <w:r w:rsidRPr="00002D26">
        <w:rPr>
          <w:rFonts w:ascii="Cambria" w:hAnsi="Cambria"/>
          <w:b/>
        </w:rPr>
        <w:t xml:space="preserve">                                                     = Receivables/ [Annual sales/360]</w:t>
      </w:r>
    </w:p>
    <w:p w:rsidR="00A05311" w:rsidRDefault="00A05311" w:rsidP="0066531E">
      <w:pPr>
        <w:spacing w:line="360" w:lineRule="auto"/>
        <w:jc w:val="both"/>
        <w:rPr>
          <w:rFonts w:ascii="Cambria" w:hAnsi="Cambria"/>
        </w:rPr>
      </w:pPr>
    </w:p>
    <w:p w:rsidR="00A05311" w:rsidRDefault="00A05311" w:rsidP="0066531E">
      <w:pPr>
        <w:spacing w:line="360" w:lineRule="auto"/>
        <w:jc w:val="both"/>
        <w:rPr>
          <w:rFonts w:ascii="Cambria" w:hAnsi="Cambria"/>
        </w:rPr>
      </w:pPr>
    </w:p>
    <w:p w:rsidR="00A05311" w:rsidRDefault="00A05311" w:rsidP="0066531E">
      <w:pPr>
        <w:spacing w:line="360" w:lineRule="auto"/>
        <w:jc w:val="both"/>
        <w:rPr>
          <w:rFonts w:ascii="Cambria" w:hAnsi="Cambria"/>
        </w:rPr>
      </w:pPr>
    </w:p>
    <w:p w:rsidR="00A05311" w:rsidRDefault="00A05311" w:rsidP="0066531E">
      <w:pPr>
        <w:spacing w:line="360" w:lineRule="auto"/>
        <w:jc w:val="both"/>
        <w:rPr>
          <w:rFonts w:ascii="Cambria" w:hAnsi="Cambria"/>
        </w:rPr>
      </w:pPr>
    </w:p>
    <w:p w:rsidR="00A05311" w:rsidRDefault="00A05311" w:rsidP="0066531E">
      <w:pPr>
        <w:spacing w:line="360" w:lineRule="auto"/>
        <w:jc w:val="both"/>
        <w:rPr>
          <w:rFonts w:ascii="Cambria" w:hAnsi="Cambria"/>
        </w:rPr>
      </w:pPr>
    </w:p>
    <w:p w:rsidR="00A05311" w:rsidRDefault="00A05311" w:rsidP="0066531E">
      <w:pPr>
        <w:spacing w:line="360" w:lineRule="auto"/>
        <w:jc w:val="both"/>
        <w:rPr>
          <w:rFonts w:ascii="Cambria" w:hAnsi="Cambria"/>
        </w:rPr>
      </w:pPr>
    </w:p>
    <w:p w:rsidR="0066531E" w:rsidRPr="00002D26" w:rsidRDefault="0066531E" w:rsidP="0066531E">
      <w:pPr>
        <w:spacing w:line="360" w:lineRule="auto"/>
        <w:jc w:val="both"/>
        <w:rPr>
          <w:rFonts w:ascii="Cambria" w:hAnsi="Cambria"/>
        </w:rPr>
      </w:pPr>
      <w:r w:rsidRPr="00002D26">
        <w:rPr>
          <w:rFonts w:ascii="Cambria" w:hAnsi="Cambria"/>
        </w:rPr>
        <w:lastRenderedPageBreak/>
        <w:t>The following Graph shows the DSO data of the 2 companies-</w:t>
      </w:r>
    </w:p>
    <w:p w:rsidR="0066531E" w:rsidRPr="00002D26" w:rsidRDefault="0066531E" w:rsidP="0066531E">
      <w:pPr>
        <w:spacing w:line="360" w:lineRule="auto"/>
        <w:jc w:val="both"/>
        <w:rPr>
          <w:rFonts w:ascii="Cambria" w:hAnsi="Cambria"/>
        </w:rPr>
      </w:pPr>
      <w:r>
        <w:rPr>
          <w:rFonts w:ascii="Cambria" w:hAnsi="Cambria"/>
          <w:noProof/>
          <w:lang w:bidi="bn-BD"/>
        </w:rPr>
        <w:drawing>
          <wp:inline distT="0" distB="0" distL="0" distR="0">
            <wp:extent cx="4827764" cy="2049625"/>
            <wp:effectExtent l="12025" t="4600" r="5261" b="0"/>
            <wp:docPr id="8"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531E" w:rsidRPr="00A3666A" w:rsidRDefault="0066531E" w:rsidP="0066531E">
      <w:pPr>
        <w:pStyle w:val="Caption"/>
        <w:jc w:val="both"/>
        <w:rPr>
          <w:rFonts w:ascii="Cambria" w:hAnsi="Cambria"/>
          <w:bCs w:val="0"/>
          <w:sz w:val="18"/>
          <w:szCs w:val="18"/>
        </w:rPr>
      </w:pPr>
      <w:r w:rsidRPr="00A3666A">
        <w:rPr>
          <w:rFonts w:ascii="Cambria" w:hAnsi="Cambria"/>
          <w:sz w:val="18"/>
          <w:szCs w:val="18"/>
        </w:rPr>
        <w:t xml:space="preserve">Figure 7: </w:t>
      </w:r>
      <w:r w:rsidRPr="00A3666A">
        <w:rPr>
          <w:rFonts w:ascii="Cambria" w:hAnsi="Cambria"/>
          <w:bCs w:val="0"/>
          <w:sz w:val="18"/>
          <w:szCs w:val="18"/>
        </w:rPr>
        <w:t>DSO Ratios of Bangas &amp; Olympic for the years 2005-2009</w:t>
      </w:r>
    </w:p>
    <w:p w:rsidR="0066531E" w:rsidRPr="00002D26" w:rsidRDefault="0066531E" w:rsidP="0066531E">
      <w:pPr>
        <w:pStyle w:val="ListParagraph"/>
        <w:ind w:left="0"/>
        <w:jc w:val="both"/>
        <w:rPr>
          <w:rFonts w:ascii="Cambria" w:hAnsi="Cambria"/>
          <w:b/>
          <w:sz w:val="24"/>
          <w:szCs w:val="24"/>
        </w:rPr>
      </w:pPr>
    </w:p>
    <w:p w:rsidR="0066531E" w:rsidRDefault="0066531E" w:rsidP="0066531E">
      <w:pPr>
        <w:pStyle w:val="ListParagraph"/>
        <w:ind w:left="0"/>
        <w:jc w:val="both"/>
        <w:rPr>
          <w:rFonts w:ascii="Cambria" w:hAnsi="Cambria"/>
          <w:b/>
          <w:sz w:val="24"/>
          <w:szCs w:val="24"/>
          <w:u w:val="single"/>
        </w:rPr>
      </w:pPr>
      <w:r w:rsidRPr="00002D26">
        <w:rPr>
          <w:rFonts w:ascii="Cambria" w:hAnsi="Cambria"/>
          <w:b/>
          <w:sz w:val="24"/>
          <w:szCs w:val="24"/>
          <w:u w:val="single"/>
        </w:rPr>
        <w:t>Comments</w:t>
      </w:r>
    </w:p>
    <w:p w:rsidR="0066531E" w:rsidRPr="00002D26" w:rsidRDefault="0066531E" w:rsidP="0066531E">
      <w:pPr>
        <w:pStyle w:val="ListParagraph"/>
        <w:ind w:left="0"/>
        <w:jc w:val="both"/>
        <w:rPr>
          <w:rFonts w:ascii="Cambria" w:hAnsi="Cambria"/>
          <w:b/>
          <w:sz w:val="24"/>
          <w:szCs w:val="24"/>
          <w:u w:val="single"/>
        </w:rPr>
      </w:pPr>
    </w:p>
    <w:p w:rsidR="0066531E" w:rsidRPr="00002D26" w:rsidRDefault="0066531E" w:rsidP="0066531E">
      <w:pPr>
        <w:pStyle w:val="ListParagraph"/>
        <w:ind w:left="0"/>
        <w:jc w:val="both"/>
        <w:rPr>
          <w:rFonts w:ascii="Cambria" w:hAnsi="Cambria"/>
          <w:sz w:val="24"/>
          <w:szCs w:val="24"/>
        </w:rPr>
      </w:pPr>
      <w:r w:rsidRPr="00002D26">
        <w:rPr>
          <w:rFonts w:ascii="Cambria" w:hAnsi="Cambria"/>
          <w:sz w:val="24"/>
          <w:szCs w:val="24"/>
        </w:rPr>
        <w:t>Bangas DSO is considerably higher than Olympic.</w:t>
      </w:r>
    </w:p>
    <w:p w:rsidR="0066531E" w:rsidRPr="00002D26" w:rsidRDefault="0066531E" w:rsidP="0066531E">
      <w:pPr>
        <w:pStyle w:val="ListParagraph"/>
        <w:ind w:left="0"/>
        <w:jc w:val="both"/>
        <w:rPr>
          <w:rFonts w:ascii="Cambria" w:hAnsi="Cambria"/>
          <w:sz w:val="24"/>
          <w:szCs w:val="24"/>
        </w:rPr>
      </w:pPr>
    </w:p>
    <w:p w:rsidR="0066531E" w:rsidRPr="00002D26" w:rsidRDefault="0066531E" w:rsidP="0066531E">
      <w:pPr>
        <w:pStyle w:val="ListParagraph"/>
        <w:ind w:left="0"/>
        <w:jc w:val="both"/>
        <w:rPr>
          <w:rFonts w:ascii="Cambria" w:hAnsi="Cambria"/>
          <w:sz w:val="24"/>
          <w:szCs w:val="24"/>
        </w:rPr>
      </w:pPr>
      <w:r w:rsidRPr="00002D26">
        <w:rPr>
          <w:rFonts w:ascii="Cambria" w:hAnsi="Cambria"/>
          <w:sz w:val="24"/>
          <w:szCs w:val="24"/>
        </w:rPr>
        <w:t>The firm may increase sales through Cash aggressively which may be a good sign to increase their market share</w:t>
      </w:r>
    </w:p>
    <w:p w:rsidR="0066531E" w:rsidRPr="00002D26" w:rsidRDefault="0066531E" w:rsidP="0066531E">
      <w:pPr>
        <w:pStyle w:val="ListParagraph"/>
        <w:ind w:left="0"/>
        <w:jc w:val="both"/>
        <w:rPr>
          <w:rFonts w:ascii="Cambria" w:hAnsi="Cambria"/>
          <w:sz w:val="24"/>
          <w:szCs w:val="24"/>
        </w:rPr>
      </w:pPr>
    </w:p>
    <w:p w:rsidR="0066531E" w:rsidRPr="00002D26" w:rsidRDefault="0066531E" w:rsidP="0066531E">
      <w:pPr>
        <w:pStyle w:val="ListParagraph"/>
        <w:ind w:left="0"/>
        <w:jc w:val="both"/>
        <w:rPr>
          <w:rFonts w:ascii="Cambria" w:hAnsi="Cambria"/>
          <w:sz w:val="24"/>
          <w:szCs w:val="24"/>
          <w:u w:val="single"/>
        </w:rPr>
      </w:pPr>
      <w:r w:rsidRPr="00002D26">
        <w:rPr>
          <w:rFonts w:ascii="Cambria" w:hAnsi="Cambria"/>
          <w:sz w:val="24"/>
          <w:szCs w:val="24"/>
        </w:rPr>
        <w:t>Credit sales should be discouraged. Cash discount may be increased to encourage cash sales. The firm needs to be more serious in collection of receivables</w:t>
      </w:r>
      <w:r w:rsidRPr="00002D26">
        <w:rPr>
          <w:rFonts w:ascii="Cambria" w:hAnsi="Cambria"/>
          <w:b/>
          <w:sz w:val="24"/>
          <w:szCs w:val="24"/>
        </w:rPr>
        <w:br w:type="page"/>
      </w:r>
      <w:r w:rsidRPr="00002D26">
        <w:rPr>
          <w:rFonts w:ascii="Cambria" w:hAnsi="Cambria"/>
          <w:b/>
          <w:sz w:val="24"/>
          <w:szCs w:val="24"/>
          <w:u w:val="single"/>
        </w:rPr>
        <w:lastRenderedPageBreak/>
        <w:t>Fixed Asset Turnover Ratio</w:t>
      </w:r>
    </w:p>
    <w:p w:rsidR="0066531E" w:rsidRPr="00002D26" w:rsidRDefault="0066531E" w:rsidP="0066531E">
      <w:pPr>
        <w:pStyle w:val="ListParagraph"/>
        <w:ind w:left="0"/>
        <w:jc w:val="both"/>
        <w:rPr>
          <w:rFonts w:ascii="Cambria" w:hAnsi="Cambria"/>
          <w:sz w:val="24"/>
          <w:szCs w:val="24"/>
        </w:rPr>
      </w:pPr>
      <w:r w:rsidRPr="00002D26">
        <w:rPr>
          <w:rFonts w:ascii="Cambria" w:hAnsi="Cambria"/>
          <w:b/>
          <w:sz w:val="24"/>
          <w:szCs w:val="24"/>
        </w:rPr>
        <w:t>Fixed Asset Turnover Ratio=Sales/Net Fixed Asset</w:t>
      </w:r>
    </w:p>
    <w:p w:rsidR="0066531E" w:rsidRPr="00002D26" w:rsidRDefault="0066531E" w:rsidP="0066531E">
      <w:pPr>
        <w:spacing w:line="360" w:lineRule="auto"/>
        <w:jc w:val="both"/>
        <w:rPr>
          <w:rFonts w:ascii="Cambria" w:hAnsi="Cambria"/>
        </w:rPr>
      </w:pPr>
      <w:r w:rsidRPr="00002D26">
        <w:rPr>
          <w:rFonts w:ascii="Cambria" w:hAnsi="Cambria"/>
        </w:rPr>
        <w:t>The following Graph shows the fixed asset turnover ratio data of the 2 companies-</w:t>
      </w:r>
    </w:p>
    <w:p w:rsidR="0066531E" w:rsidRPr="00002D26" w:rsidRDefault="0066531E" w:rsidP="0066531E">
      <w:pPr>
        <w:spacing w:line="360" w:lineRule="auto"/>
        <w:jc w:val="both"/>
        <w:rPr>
          <w:rFonts w:ascii="Cambria" w:hAnsi="Cambria"/>
        </w:rPr>
      </w:pPr>
      <w:r>
        <w:rPr>
          <w:rFonts w:ascii="Cambria" w:hAnsi="Cambria"/>
          <w:noProof/>
          <w:lang w:bidi="bn-BD"/>
        </w:rPr>
        <w:drawing>
          <wp:inline distT="0" distB="0" distL="0" distR="0">
            <wp:extent cx="4259669" cy="2228155"/>
            <wp:effectExtent l="10676" t="4505" r="4475" b="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531E" w:rsidRPr="00A3666A" w:rsidRDefault="0066531E" w:rsidP="0066531E">
      <w:pPr>
        <w:pStyle w:val="Caption"/>
        <w:jc w:val="both"/>
        <w:rPr>
          <w:rFonts w:ascii="Cambria" w:hAnsi="Cambria"/>
          <w:bCs w:val="0"/>
          <w:sz w:val="18"/>
          <w:szCs w:val="18"/>
        </w:rPr>
      </w:pPr>
      <w:r w:rsidRPr="00A3666A">
        <w:rPr>
          <w:rFonts w:ascii="Cambria" w:hAnsi="Cambria"/>
          <w:sz w:val="18"/>
          <w:szCs w:val="18"/>
        </w:rPr>
        <w:t xml:space="preserve">Figure 8: </w:t>
      </w:r>
      <w:r w:rsidRPr="00A3666A">
        <w:rPr>
          <w:rFonts w:ascii="Cambria" w:hAnsi="Cambria"/>
          <w:bCs w:val="0"/>
          <w:sz w:val="18"/>
          <w:szCs w:val="18"/>
        </w:rPr>
        <w:t>Fixed asset turnover Ratios of Bangas &amp; Olympic for the years 2005-2009</w:t>
      </w:r>
    </w:p>
    <w:p w:rsidR="0066531E" w:rsidRPr="00002D26" w:rsidRDefault="0066531E" w:rsidP="0066531E">
      <w:pPr>
        <w:jc w:val="both"/>
      </w:pPr>
    </w:p>
    <w:p w:rsidR="0066531E" w:rsidRDefault="0066531E" w:rsidP="0066531E">
      <w:pPr>
        <w:jc w:val="both"/>
        <w:rPr>
          <w:rFonts w:ascii="Cambria" w:hAnsi="Cambria"/>
          <w:b/>
          <w:u w:val="single"/>
        </w:rPr>
      </w:pPr>
      <w:r w:rsidRPr="00002D26">
        <w:rPr>
          <w:rFonts w:ascii="Cambria" w:hAnsi="Cambria"/>
          <w:b/>
          <w:u w:val="single"/>
        </w:rPr>
        <w:t>Comments</w:t>
      </w:r>
    </w:p>
    <w:p w:rsidR="0066531E" w:rsidRPr="00002D26" w:rsidRDefault="0066531E" w:rsidP="0066531E">
      <w:pPr>
        <w:jc w:val="both"/>
        <w:rPr>
          <w:rFonts w:ascii="Cambria" w:hAnsi="Cambria"/>
          <w:b/>
          <w:u w:val="single"/>
        </w:rPr>
      </w:pPr>
    </w:p>
    <w:p w:rsidR="0066531E" w:rsidRPr="00002D26" w:rsidRDefault="0066531E" w:rsidP="0066531E">
      <w:pPr>
        <w:pStyle w:val="ListParagraph"/>
        <w:ind w:left="0"/>
        <w:jc w:val="both"/>
        <w:rPr>
          <w:rFonts w:ascii="Cambria" w:hAnsi="Cambria"/>
          <w:sz w:val="24"/>
          <w:szCs w:val="24"/>
        </w:rPr>
      </w:pPr>
      <w:r w:rsidRPr="00002D26">
        <w:rPr>
          <w:rFonts w:ascii="Cambria" w:hAnsi="Cambria"/>
          <w:sz w:val="24"/>
          <w:szCs w:val="24"/>
        </w:rPr>
        <w:t>Fixed asset turnover ratio for Bangas is up growing gradually but little poorer than Olympic.</w:t>
      </w:r>
    </w:p>
    <w:p w:rsidR="0066531E" w:rsidRPr="00002D26" w:rsidRDefault="0066531E" w:rsidP="0066531E">
      <w:pPr>
        <w:pStyle w:val="ListParagraph"/>
        <w:ind w:left="0"/>
        <w:jc w:val="both"/>
        <w:rPr>
          <w:rFonts w:ascii="Cambria" w:hAnsi="Cambria"/>
          <w:sz w:val="24"/>
          <w:szCs w:val="24"/>
        </w:rPr>
      </w:pPr>
      <w:r w:rsidRPr="00002D26">
        <w:rPr>
          <w:rFonts w:ascii="Cambria" w:hAnsi="Cambria"/>
          <w:sz w:val="24"/>
          <w:szCs w:val="24"/>
        </w:rPr>
        <w:t>This increases because the firm has no recent investment and thus it is steady.</w:t>
      </w:r>
    </w:p>
    <w:p w:rsidR="0066531E" w:rsidRPr="00002D26" w:rsidRDefault="0066531E" w:rsidP="0066531E">
      <w:pPr>
        <w:pStyle w:val="ListParagraph"/>
        <w:ind w:left="0"/>
        <w:jc w:val="both"/>
        <w:rPr>
          <w:rFonts w:ascii="Cambria" w:hAnsi="Cambria"/>
          <w:sz w:val="24"/>
          <w:szCs w:val="24"/>
        </w:rPr>
      </w:pPr>
    </w:p>
    <w:p w:rsidR="0066531E" w:rsidRPr="00002D26" w:rsidRDefault="0066531E" w:rsidP="0066531E">
      <w:pPr>
        <w:pStyle w:val="ListParagraph"/>
        <w:ind w:left="0"/>
        <w:jc w:val="both"/>
        <w:rPr>
          <w:rFonts w:ascii="Cambria" w:hAnsi="Cambria"/>
          <w:sz w:val="24"/>
          <w:szCs w:val="24"/>
          <w:u w:val="single"/>
        </w:rPr>
      </w:pPr>
      <w:r w:rsidRPr="00002D26">
        <w:rPr>
          <w:rFonts w:ascii="Cambria" w:hAnsi="Cambria"/>
          <w:b/>
          <w:sz w:val="24"/>
          <w:szCs w:val="24"/>
          <w:u w:val="single"/>
        </w:rPr>
        <w:t>Total Asset Turnover Ratio:</w:t>
      </w:r>
    </w:p>
    <w:p w:rsidR="0066531E" w:rsidRPr="00002D26" w:rsidRDefault="0066531E" w:rsidP="0066531E">
      <w:pPr>
        <w:spacing w:line="360" w:lineRule="auto"/>
        <w:jc w:val="both"/>
        <w:rPr>
          <w:rFonts w:ascii="Cambria" w:hAnsi="Cambria"/>
          <w:b/>
        </w:rPr>
      </w:pPr>
      <w:r w:rsidRPr="00002D26">
        <w:rPr>
          <w:rFonts w:ascii="Cambria" w:hAnsi="Cambria"/>
          <w:b/>
        </w:rPr>
        <w:t>Total Assets Turnover Ratio = Sales/ Total Assets</w:t>
      </w:r>
    </w:p>
    <w:p w:rsidR="0066531E" w:rsidRPr="00002D26" w:rsidRDefault="0066531E" w:rsidP="0066531E">
      <w:pPr>
        <w:jc w:val="both"/>
        <w:rPr>
          <w:rFonts w:ascii="Cambria" w:hAnsi="Cambria"/>
        </w:rPr>
      </w:pPr>
      <w:r w:rsidRPr="00002D26">
        <w:rPr>
          <w:rFonts w:ascii="Cambria" w:hAnsi="Cambria"/>
        </w:rPr>
        <w:t>The following Graph shows the Total Asset Turnover ratio data of the 2 companies</w:t>
      </w:r>
    </w:p>
    <w:p w:rsidR="0066531E" w:rsidRPr="00002D26" w:rsidRDefault="0066531E" w:rsidP="0066531E">
      <w:pPr>
        <w:jc w:val="both"/>
        <w:rPr>
          <w:rFonts w:ascii="Cambria" w:hAnsi="Cambria"/>
        </w:rPr>
      </w:pPr>
      <w:r>
        <w:rPr>
          <w:rFonts w:ascii="Cambria" w:hAnsi="Cambria"/>
          <w:noProof/>
          <w:lang w:bidi="bn-BD"/>
        </w:rPr>
        <w:drawing>
          <wp:inline distT="0" distB="0" distL="0" distR="0">
            <wp:extent cx="4719503" cy="2239698"/>
            <wp:effectExtent l="12578" t="5027" r="6289" b="0"/>
            <wp:docPr id="10"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6531E" w:rsidRPr="00A3666A" w:rsidRDefault="0066531E" w:rsidP="0066531E">
      <w:pPr>
        <w:pStyle w:val="Caption"/>
        <w:jc w:val="both"/>
        <w:rPr>
          <w:rFonts w:ascii="Cambria" w:hAnsi="Cambria"/>
          <w:bCs w:val="0"/>
          <w:sz w:val="18"/>
          <w:szCs w:val="18"/>
        </w:rPr>
      </w:pPr>
      <w:r w:rsidRPr="00A3666A">
        <w:rPr>
          <w:rFonts w:ascii="Cambria" w:hAnsi="Cambria"/>
          <w:sz w:val="18"/>
          <w:szCs w:val="18"/>
        </w:rPr>
        <w:t xml:space="preserve">Figure 9: </w:t>
      </w:r>
      <w:r w:rsidRPr="00A3666A">
        <w:rPr>
          <w:rFonts w:ascii="Cambria" w:hAnsi="Cambria"/>
          <w:bCs w:val="0"/>
          <w:sz w:val="18"/>
          <w:szCs w:val="18"/>
        </w:rPr>
        <w:t>Total asset turnover Ratios of Bangas &amp; Olympic for the years 2005-2009</w:t>
      </w:r>
    </w:p>
    <w:p w:rsidR="0066531E" w:rsidRPr="00002D26" w:rsidRDefault="0066531E" w:rsidP="0066531E">
      <w:pPr>
        <w:jc w:val="both"/>
      </w:pPr>
    </w:p>
    <w:p w:rsidR="0066531E" w:rsidRPr="00002D26" w:rsidRDefault="0066531E" w:rsidP="0066531E">
      <w:pPr>
        <w:tabs>
          <w:tab w:val="left" w:pos="810"/>
        </w:tabs>
        <w:jc w:val="both"/>
        <w:rPr>
          <w:rFonts w:ascii="Cambria" w:hAnsi="Cambria"/>
          <w:b/>
          <w:u w:val="single"/>
        </w:rPr>
      </w:pPr>
      <w:r w:rsidRPr="00002D26">
        <w:rPr>
          <w:rFonts w:ascii="Cambria" w:hAnsi="Cambria"/>
          <w:b/>
          <w:u w:val="single"/>
        </w:rPr>
        <w:t>Comments</w:t>
      </w:r>
    </w:p>
    <w:p w:rsidR="0066531E" w:rsidRPr="00002D26" w:rsidRDefault="0066531E" w:rsidP="0066531E">
      <w:pPr>
        <w:pStyle w:val="ListParagraph"/>
        <w:tabs>
          <w:tab w:val="left" w:pos="810"/>
        </w:tabs>
        <w:ind w:left="0"/>
        <w:jc w:val="both"/>
        <w:rPr>
          <w:rFonts w:ascii="Cambria" w:hAnsi="Cambria"/>
          <w:sz w:val="24"/>
          <w:szCs w:val="24"/>
        </w:rPr>
      </w:pPr>
      <w:r w:rsidRPr="00002D26">
        <w:rPr>
          <w:rFonts w:ascii="Cambria" w:hAnsi="Cambria"/>
          <w:sz w:val="24"/>
          <w:szCs w:val="24"/>
        </w:rPr>
        <w:t>Compared to Olympic the total asset turnover ratio of Bangas’ is little poor but it has a steady growth rate.</w:t>
      </w:r>
    </w:p>
    <w:p w:rsidR="001100E4" w:rsidRDefault="001100E4" w:rsidP="0066531E">
      <w:pPr>
        <w:pStyle w:val="ListParagraph"/>
        <w:tabs>
          <w:tab w:val="left" w:pos="810"/>
        </w:tabs>
        <w:ind w:left="0"/>
        <w:jc w:val="both"/>
        <w:rPr>
          <w:rFonts w:ascii="Cambria" w:hAnsi="Cambria"/>
          <w:b/>
          <w:sz w:val="24"/>
          <w:szCs w:val="24"/>
          <w:u w:val="single"/>
        </w:rPr>
      </w:pPr>
    </w:p>
    <w:p w:rsidR="0066531E" w:rsidRPr="00FD6217" w:rsidRDefault="0066531E" w:rsidP="0066531E">
      <w:pPr>
        <w:pStyle w:val="ListParagraph"/>
        <w:tabs>
          <w:tab w:val="left" w:pos="810"/>
        </w:tabs>
        <w:ind w:left="0"/>
        <w:jc w:val="both"/>
        <w:rPr>
          <w:rFonts w:ascii="Cambria" w:hAnsi="Cambria"/>
          <w:b/>
          <w:sz w:val="24"/>
          <w:szCs w:val="24"/>
          <w:u w:val="single"/>
        </w:rPr>
      </w:pPr>
      <w:r w:rsidRPr="00FD6217">
        <w:rPr>
          <w:rFonts w:ascii="Cambria" w:hAnsi="Cambria"/>
          <w:b/>
          <w:sz w:val="24"/>
          <w:szCs w:val="24"/>
          <w:u w:val="single"/>
        </w:rPr>
        <w:t>Overall comment on Asset Turnover Ratio:</w:t>
      </w:r>
    </w:p>
    <w:p w:rsidR="0066531E" w:rsidRPr="00FD6217" w:rsidRDefault="0066531E" w:rsidP="0066531E">
      <w:pPr>
        <w:pStyle w:val="ListParagraph"/>
        <w:tabs>
          <w:tab w:val="left" w:pos="810"/>
        </w:tabs>
        <w:ind w:left="0"/>
        <w:jc w:val="both"/>
        <w:rPr>
          <w:rFonts w:ascii="Cambria" w:hAnsi="Cambria"/>
          <w:b/>
          <w:sz w:val="24"/>
          <w:szCs w:val="24"/>
        </w:rPr>
      </w:pPr>
    </w:p>
    <w:p w:rsidR="0066531E" w:rsidRPr="00FD6217" w:rsidRDefault="0066531E" w:rsidP="0066531E">
      <w:pPr>
        <w:pStyle w:val="ListParagraph"/>
        <w:tabs>
          <w:tab w:val="left" w:pos="810"/>
        </w:tabs>
        <w:ind w:left="0"/>
        <w:jc w:val="both"/>
        <w:rPr>
          <w:rFonts w:ascii="Cambria" w:hAnsi="Cambria"/>
          <w:b/>
          <w:sz w:val="24"/>
          <w:szCs w:val="24"/>
        </w:rPr>
      </w:pPr>
      <w:r w:rsidRPr="00FD6217">
        <w:rPr>
          <w:rFonts w:ascii="Cambria" w:hAnsi="Cambria"/>
          <w:b/>
          <w:sz w:val="24"/>
          <w:szCs w:val="24"/>
        </w:rPr>
        <w:t>Poor performances in all the asset management ratios are due to sales decrease. To reduce the sales price, forceful market campaign may be a good option to promote sales. To improve the DSO, the firm should be more punctual in its collection of receivables. The reason for poor asset management ratio is the inefficient inventory management. Irregular increase in inventory in the current year about 7% does not go with sales decrease of 3.3%.</w:t>
      </w:r>
    </w:p>
    <w:p w:rsidR="0066531E" w:rsidRPr="00002D26" w:rsidRDefault="0066531E" w:rsidP="0066531E">
      <w:pPr>
        <w:pStyle w:val="ListParagraph"/>
        <w:tabs>
          <w:tab w:val="left" w:pos="810"/>
        </w:tabs>
        <w:ind w:left="0"/>
        <w:jc w:val="both"/>
        <w:rPr>
          <w:rFonts w:ascii="Cambria" w:hAnsi="Cambria"/>
          <w:sz w:val="24"/>
          <w:szCs w:val="24"/>
        </w:rPr>
      </w:pPr>
    </w:p>
    <w:p w:rsidR="0066531E" w:rsidRDefault="0066531E" w:rsidP="0066531E">
      <w:pPr>
        <w:pStyle w:val="ListParagraph"/>
        <w:tabs>
          <w:tab w:val="left" w:pos="810"/>
        </w:tabs>
        <w:ind w:left="0"/>
        <w:jc w:val="both"/>
        <w:rPr>
          <w:rFonts w:ascii="Cambria" w:hAnsi="Cambria"/>
          <w:b/>
          <w:sz w:val="24"/>
          <w:szCs w:val="24"/>
          <w:u w:val="single"/>
        </w:rPr>
      </w:pPr>
    </w:p>
    <w:p w:rsidR="0066531E" w:rsidRPr="00002D26" w:rsidRDefault="0066531E" w:rsidP="0066531E">
      <w:pPr>
        <w:pStyle w:val="ListParagraph"/>
        <w:tabs>
          <w:tab w:val="left" w:pos="810"/>
        </w:tabs>
        <w:ind w:left="0"/>
        <w:jc w:val="both"/>
        <w:rPr>
          <w:rFonts w:ascii="Cambria" w:hAnsi="Cambria"/>
          <w:b/>
          <w:sz w:val="24"/>
          <w:szCs w:val="24"/>
          <w:u w:val="single"/>
        </w:rPr>
      </w:pPr>
      <w:r w:rsidRPr="00002D26">
        <w:rPr>
          <w:rFonts w:ascii="Cambria" w:hAnsi="Cambria"/>
          <w:b/>
          <w:sz w:val="24"/>
          <w:szCs w:val="24"/>
          <w:u w:val="single"/>
        </w:rPr>
        <w:t>Long-term or debt Management Ratio</w:t>
      </w:r>
    </w:p>
    <w:p w:rsidR="0066531E" w:rsidRPr="00002D26" w:rsidRDefault="0066531E" w:rsidP="0066531E">
      <w:pPr>
        <w:spacing w:line="360" w:lineRule="auto"/>
        <w:jc w:val="both"/>
        <w:rPr>
          <w:rFonts w:ascii="Cambria" w:hAnsi="Cambria"/>
          <w:b/>
          <w:u w:val="single"/>
        </w:rPr>
      </w:pPr>
      <w:r w:rsidRPr="00002D26">
        <w:rPr>
          <w:rFonts w:ascii="Cambria" w:hAnsi="Cambria"/>
          <w:b/>
          <w:u w:val="single"/>
        </w:rPr>
        <w:t>Debt Ratio:</w:t>
      </w:r>
    </w:p>
    <w:p w:rsidR="0066531E" w:rsidRPr="00002D26" w:rsidRDefault="0066531E" w:rsidP="0066531E">
      <w:pPr>
        <w:spacing w:line="360" w:lineRule="auto"/>
        <w:jc w:val="both"/>
        <w:rPr>
          <w:rFonts w:ascii="Cambria" w:hAnsi="Cambria"/>
          <w:b/>
        </w:rPr>
      </w:pPr>
      <w:r w:rsidRPr="00002D26">
        <w:rPr>
          <w:rFonts w:ascii="Cambria" w:hAnsi="Cambria"/>
          <w:b/>
        </w:rPr>
        <w:t>Debt Ratio= Total Debt/ Total Assets</w:t>
      </w:r>
    </w:p>
    <w:p w:rsidR="0066531E" w:rsidRPr="00002D26" w:rsidRDefault="0066531E" w:rsidP="0066531E">
      <w:pPr>
        <w:spacing w:line="360" w:lineRule="auto"/>
        <w:jc w:val="both"/>
        <w:rPr>
          <w:rFonts w:ascii="Cambria" w:hAnsi="Cambria"/>
        </w:rPr>
      </w:pPr>
      <w:r w:rsidRPr="00002D26">
        <w:rPr>
          <w:rFonts w:ascii="Cambria" w:hAnsi="Cambria"/>
        </w:rPr>
        <w:t xml:space="preserve">The following Graph shows the debt ratio data of the 2 companies-                                                                                                                                                           </w:t>
      </w:r>
    </w:p>
    <w:p w:rsidR="0066531E" w:rsidRPr="00002D26" w:rsidRDefault="0066531E" w:rsidP="0066531E">
      <w:pPr>
        <w:tabs>
          <w:tab w:val="left" w:pos="1524"/>
        </w:tabs>
        <w:jc w:val="both"/>
        <w:rPr>
          <w:rFonts w:ascii="Cambria" w:hAnsi="Cambria"/>
        </w:rPr>
      </w:pPr>
      <w:r>
        <w:rPr>
          <w:rFonts w:ascii="Cambria" w:hAnsi="Cambria"/>
          <w:noProof/>
          <w:lang w:bidi="bn-BD"/>
        </w:rPr>
        <w:drawing>
          <wp:inline distT="0" distB="0" distL="0" distR="0">
            <wp:extent cx="4211068" cy="2026204"/>
            <wp:effectExtent l="11313" t="4526" r="5449" b="0"/>
            <wp:docPr id="1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6531E" w:rsidRPr="00A3666A" w:rsidRDefault="0066531E" w:rsidP="0066531E">
      <w:pPr>
        <w:pStyle w:val="Caption"/>
        <w:jc w:val="both"/>
        <w:rPr>
          <w:rFonts w:ascii="Cambria" w:hAnsi="Cambria"/>
          <w:bCs w:val="0"/>
          <w:sz w:val="18"/>
          <w:szCs w:val="18"/>
        </w:rPr>
      </w:pPr>
      <w:r w:rsidRPr="00A3666A">
        <w:rPr>
          <w:rFonts w:ascii="Cambria" w:hAnsi="Cambria"/>
          <w:sz w:val="18"/>
          <w:szCs w:val="18"/>
        </w:rPr>
        <w:t xml:space="preserve">Figure 10: </w:t>
      </w:r>
      <w:r w:rsidRPr="00A3666A">
        <w:rPr>
          <w:rFonts w:ascii="Cambria" w:hAnsi="Cambria"/>
          <w:bCs w:val="0"/>
          <w:sz w:val="18"/>
          <w:szCs w:val="18"/>
        </w:rPr>
        <w:t>Debt Ratios of Bangas &amp; Olympic for the years 2005-2009</w:t>
      </w:r>
    </w:p>
    <w:p w:rsidR="001100E4" w:rsidRDefault="001100E4" w:rsidP="0066531E">
      <w:pPr>
        <w:spacing w:line="360" w:lineRule="auto"/>
        <w:jc w:val="both"/>
        <w:rPr>
          <w:rFonts w:ascii="Cambria" w:hAnsi="Cambria"/>
          <w:b/>
        </w:rPr>
      </w:pPr>
    </w:p>
    <w:p w:rsidR="0066531E" w:rsidRPr="00DC0D57" w:rsidRDefault="0066531E" w:rsidP="0066531E">
      <w:pPr>
        <w:spacing w:line="360" w:lineRule="auto"/>
        <w:jc w:val="both"/>
        <w:rPr>
          <w:b/>
          <w:u w:val="single"/>
        </w:rPr>
      </w:pPr>
      <w:r w:rsidRPr="00DC0D57">
        <w:rPr>
          <w:b/>
          <w:u w:val="single"/>
        </w:rPr>
        <w:t>Time series analysis</w:t>
      </w:r>
    </w:p>
    <w:p w:rsidR="0066531E" w:rsidRPr="00853753" w:rsidRDefault="0066531E" w:rsidP="0066531E">
      <w:pPr>
        <w:spacing w:line="360" w:lineRule="auto"/>
        <w:jc w:val="both"/>
      </w:pPr>
      <w:r w:rsidRPr="00853753">
        <w:t xml:space="preserve">Throughout the period </w:t>
      </w:r>
      <w:r>
        <w:t xml:space="preserve">debt is steadily appearing. It’s because they are issuing new shares and increasing equity portion as well as higher production is occurring to have higher acc. payable.   </w:t>
      </w:r>
    </w:p>
    <w:p w:rsidR="00A05311" w:rsidRDefault="00A05311" w:rsidP="0066531E">
      <w:pPr>
        <w:tabs>
          <w:tab w:val="left" w:pos="1680"/>
        </w:tabs>
        <w:spacing w:line="360" w:lineRule="auto"/>
        <w:jc w:val="both"/>
        <w:rPr>
          <w:b/>
          <w:u w:val="single"/>
        </w:rPr>
      </w:pPr>
    </w:p>
    <w:p w:rsidR="00A05311" w:rsidRDefault="00A05311" w:rsidP="0066531E">
      <w:pPr>
        <w:tabs>
          <w:tab w:val="left" w:pos="1680"/>
        </w:tabs>
        <w:spacing w:line="360" w:lineRule="auto"/>
        <w:jc w:val="both"/>
        <w:rPr>
          <w:b/>
          <w:u w:val="single"/>
        </w:rPr>
      </w:pPr>
    </w:p>
    <w:p w:rsidR="0066531E" w:rsidRPr="00DC0D57" w:rsidRDefault="0066531E" w:rsidP="0066531E">
      <w:pPr>
        <w:tabs>
          <w:tab w:val="left" w:pos="1680"/>
        </w:tabs>
        <w:spacing w:line="360" w:lineRule="auto"/>
        <w:jc w:val="both"/>
        <w:rPr>
          <w:b/>
        </w:rPr>
      </w:pPr>
      <w:r w:rsidRPr="00DC0D57">
        <w:rPr>
          <w:b/>
          <w:u w:val="single"/>
        </w:rPr>
        <w:t>Cross section analysis:</w:t>
      </w:r>
    </w:p>
    <w:p w:rsidR="0066531E" w:rsidRPr="001100E4" w:rsidRDefault="0066531E" w:rsidP="001100E4">
      <w:pPr>
        <w:jc w:val="both"/>
        <w:rPr>
          <w:rFonts w:ascii="Cambria" w:hAnsi="Cambria"/>
        </w:rPr>
      </w:pPr>
      <w:r w:rsidRPr="006F4114">
        <w:rPr>
          <w:rFonts w:ascii="Cambria" w:hAnsi="Cambria"/>
        </w:rPr>
        <w:t>Compared to Olympic, Bangas have stable</w:t>
      </w:r>
      <w:r>
        <w:rPr>
          <w:rFonts w:ascii="Cambria" w:hAnsi="Cambria"/>
        </w:rPr>
        <w:t xml:space="preserve"> but high</w:t>
      </w:r>
      <w:r w:rsidRPr="006F4114">
        <w:rPr>
          <w:rFonts w:ascii="Cambria" w:hAnsi="Cambria"/>
        </w:rPr>
        <w:t xml:space="preserve"> debt ratio and major portion of t</w:t>
      </w:r>
      <w:r>
        <w:rPr>
          <w:rFonts w:ascii="Cambria" w:hAnsi="Cambria"/>
        </w:rPr>
        <w:t>hat debt is current liabilities which is a positive sign to operations.</w:t>
      </w:r>
    </w:p>
    <w:p w:rsidR="0066531E" w:rsidRPr="00DC0D57" w:rsidRDefault="0066531E" w:rsidP="0066531E">
      <w:pPr>
        <w:spacing w:line="360" w:lineRule="auto"/>
        <w:jc w:val="both"/>
        <w:rPr>
          <w:rFonts w:ascii="Cambria" w:hAnsi="Cambria"/>
          <w:b/>
          <w:u w:val="single"/>
        </w:rPr>
      </w:pPr>
      <w:r w:rsidRPr="00DC0D57">
        <w:rPr>
          <w:rFonts w:ascii="Cambria" w:hAnsi="Cambria"/>
          <w:b/>
          <w:u w:val="single"/>
        </w:rPr>
        <w:t>Comments:</w:t>
      </w:r>
    </w:p>
    <w:p w:rsidR="0066531E" w:rsidRDefault="0066531E" w:rsidP="0066531E">
      <w:pPr>
        <w:spacing w:line="360" w:lineRule="auto"/>
        <w:jc w:val="both"/>
        <w:rPr>
          <w:rFonts w:ascii="Cambria" w:hAnsi="Cambria"/>
        </w:rPr>
      </w:pPr>
      <w:r>
        <w:rPr>
          <w:rFonts w:ascii="Cambria" w:hAnsi="Cambria"/>
        </w:rPr>
        <w:t>High debt Ratio of Bangas (83%) indicates that the</w:t>
      </w:r>
      <w:r w:rsidRPr="00002D26">
        <w:rPr>
          <w:rFonts w:ascii="Cambria" w:hAnsi="Cambria"/>
        </w:rPr>
        <w:t xml:space="preserve"> company is gradually reducing its dependency on dept </w:t>
      </w:r>
      <w:r>
        <w:rPr>
          <w:rFonts w:ascii="Cambria" w:hAnsi="Cambria"/>
        </w:rPr>
        <w:t xml:space="preserve">by increasing the equity amount. </w:t>
      </w:r>
      <w:r w:rsidRPr="00002D26">
        <w:rPr>
          <w:rFonts w:ascii="Cambria" w:hAnsi="Cambria"/>
        </w:rPr>
        <w:t>Total picture is that, though company is increasing equity more than debt, but they are also getting the amount of debt in high interest rate.</w:t>
      </w:r>
    </w:p>
    <w:p w:rsidR="0066531E" w:rsidRPr="00853753" w:rsidRDefault="0066531E" w:rsidP="0066531E">
      <w:pPr>
        <w:spacing w:line="360" w:lineRule="auto"/>
        <w:jc w:val="both"/>
        <w:rPr>
          <w:rFonts w:ascii="Cambria" w:hAnsi="Cambria"/>
        </w:rPr>
      </w:pPr>
      <w:r w:rsidRPr="00002D26">
        <w:rPr>
          <w:rFonts w:ascii="Cambria" w:hAnsi="Cambria"/>
          <w:b/>
          <w:u w:val="single"/>
        </w:rPr>
        <w:t>Time Interest Earned (TIE) Ratio:</w:t>
      </w:r>
    </w:p>
    <w:p w:rsidR="0066531E" w:rsidRPr="00002D26" w:rsidRDefault="0066531E" w:rsidP="0066531E">
      <w:pPr>
        <w:spacing w:line="360" w:lineRule="auto"/>
        <w:jc w:val="both"/>
        <w:rPr>
          <w:rFonts w:ascii="Cambria" w:hAnsi="Cambria"/>
          <w:b/>
        </w:rPr>
      </w:pPr>
      <w:r w:rsidRPr="00002D26">
        <w:rPr>
          <w:rFonts w:ascii="Cambria" w:hAnsi="Cambria"/>
          <w:b/>
        </w:rPr>
        <w:t>Time interest earned ratio = EBIT/ Interest charges</w:t>
      </w:r>
    </w:p>
    <w:p w:rsidR="0066531E" w:rsidRPr="00002D26" w:rsidRDefault="0066531E" w:rsidP="0066531E">
      <w:pPr>
        <w:spacing w:line="360" w:lineRule="auto"/>
        <w:jc w:val="both"/>
        <w:rPr>
          <w:rFonts w:ascii="Cambria" w:hAnsi="Cambria"/>
        </w:rPr>
      </w:pPr>
      <w:r w:rsidRPr="00002D26">
        <w:rPr>
          <w:rFonts w:ascii="Cambria" w:hAnsi="Cambria"/>
        </w:rPr>
        <w:t>The following Graph shows the TIE ratio data of the 2 companies-</w:t>
      </w:r>
    </w:p>
    <w:p w:rsidR="0066531E" w:rsidRPr="00002D26" w:rsidRDefault="0066531E" w:rsidP="0066531E">
      <w:pPr>
        <w:spacing w:line="360" w:lineRule="auto"/>
        <w:jc w:val="both"/>
        <w:rPr>
          <w:rFonts w:ascii="Cambria" w:hAnsi="Cambria"/>
        </w:rPr>
      </w:pPr>
      <w:r>
        <w:rPr>
          <w:rFonts w:ascii="Cambria" w:hAnsi="Cambria"/>
          <w:noProof/>
          <w:lang w:bidi="bn-BD"/>
        </w:rPr>
        <w:drawing>
          <wp:inline distT="0" distB="0" distL="0" distR="0">
            <wp:extent cx="4424043" cy="2345947"/>
            <wp:effectExtent l="11898" t="5458" r="5249" b="0"/>
            <wp:docPr id="1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6531E" w:rsidRPr="00A3666A" w:rsidRDefault="0066531E" w:rsidP="0066531E">
      <w:pPr>
        <w:pStyle w:val="Caption"/>
        <w:jc w:val="both"/>
        <w:rPr>
          <w:rFonts w:ascii="Cambria" w:hAnsi="Cambria"/>
          <w:sz w:val="18"/>
          <w:szCs w:val="18"/>
        </w:rPr>
      </w:pPr>
      <w:r w:rsidRPr="00A3666A">
        <w:rPr>
          <w:rFonts w:ascii="Cambria" w:hAnsi="Cambria"/>
          <w:sz w:val="18"/>
          <w:szCs w:val="18"/>
        </w:rPr>
        <w:t xml:space="preserve">Figure 11: </w:t>
      </w:r>
      <w:r w:rsidRPr="00A3666A">
        <w:rPr>
          <w:rFonts w:ascii="Cambria" w:hAnsi="Cambria"/>
          <w:bCs w:val="0"/>
          <w:sz w:val="18"/>
          <w:szCs w:val="18"/>
        </w:rPr>
        <w:t>Time Interest earned Ratios of Bangas &amp; Olympic for the years 2005-2009</w:t>
      </w:r>
    </w:p>
    <w:p w:rsidR="0066531E" w:rsidRPr="00002D26" w:rsidRDefault="0066531E" w:rsidP="0066531E">
      <w:pPr>
        <w:jc w:val="both"/>
        <w:rPr>
          <w:rFonts w:ascii="Cambria" w:hAnsi="Cambria"/>
          <w:b/>
        </w:rPr>
      </w:pPr>
    </w:p>
    <w:p w:rsidR="0066531E" w:rsidRDefault="0066531E" w:rsidP="0066531E">
      <w:pPr>
        <w:jc w:val="both"/>
        <w:rPr>
          <w:rFonts w:ascii="Cambria" w:hAnsi="Cambria"/>
          <w:b/>
          <w:u w:val="single"/>
        </w:rPr>
      </w:pPr>
      <w:r w:rsidRPr="00002D26">
        <w:rPr>
          <w:rFonts w:ascii="Cambria" w:hAnsi="Cambria"/>
          <w:b/>
          <w:u w:val="single"/>
        </w:rPr>
        <w:t>Comments:</w:t>
      </w:r>
    </w:p>
    <w:p w:rsidR="0066531E" w:rsidRPr="00002D26" w:rsidRDefault="0066531E" w:rsidP="0066531E">
      <w:pPr>
        <w:pStyle w:val="ListParagraph"/>
        <w:ind w:left="0"/>
        <w:jc w:val="both"/>
        <w:rPr>
          <w:rFonts w:ascii="Cambria" w:hAnsi="Cambria"/>
          <w:sz w:val="24"/>
          <w:szCs w:val="24"/>
        </w:rPr>
      </w:pPr>
      <w:r w:rsidRPr="00002D26">
        <w:rPr>
          <w:rFonts w:ascii="Cambria" w:hAnsi="Cambria"/>
          <w:sz w:val="24"/>
          <w:szCs w:val="24"/>
        </w:rPr>
        <w:t>The firm’s TIE ratio was relatively stable over the period than 2004-05.</w:t>
      </w:r>
    </w:p>
    <w:p w:rsidR="0066531E" w:rsidRPr="00002D26" w:rsidRDefault="0066531E" w:rsidP="0066531E">
      <w:pPr>
        <w:pStyle w:val="ListParagraph"/>
        <w:ind w:left="0"/>
        <w:jc w:val="both"/>
        <w:rPr>
          <w:rFonts w:ascii="Cambria" w:hAnsi="Cambria"/>
          <w:sz w:val="24"/>
          <w:szCs w:val="24"/>
        </w:rPr>
      </w:pPr>
      <w:r w:rsidRPr="00002D26">
        <w:rPr>
          <w:rFonts w:ascii="Cambria" w:hAnsi="Cambria"/>
          <w:sz w:val="24"/>
          <w:szCs w:val="24"/>
        </w:rPr>
        <w:t>It has a better TIE ratio than Olympic.</w:t>
      </w:r>
    </w:p>
    <w:p w:rsidR="001100E4" w:rsidRDefault="001100E4" w:rsidP="0066531E">
      <w:pPr>
        <w:jc w:val="both"/>
        <w:rPr>
          <w:rFonts w:ascii="Cambria" w:hAnsi="Cambria"/>
          <w:b/>
          <w:u w:val="single"/>
        </w:rPr>
      </w:pPr>
    </w:p>
    <w:p w:rsidR="001100E4" w:rsidRDefault="001100E4" w:rsidP="0066531E">
      <w:pPr>
        <w:jc w:val="both"/>
        <w:rPr>
          <w:rFonts w:ascii="Cambria" w:hAnsi="Cambria"/>
          <w:b/>
          <w:u w:val="single"/>
        </w:rPr>
      </w:pPr>
    </w:p>
    <w:p w:rsidR="001100E4" w:rsidRDefault="001100E4" w:rsidP="0066531E">
      <w:pPr>
        <w:jc w:val="both"/>
        <w:rPr>
          <w:rFonts w:ascii="Cambria" w:hAnsi="Cambria"/>
          <w:b/>
          <w:u w:val="single"/>
        </w:rPr>
      </w:pPr>
    </w:p>
    <w:p w:rsidR="001100E4" w:rsidRDefault="001100E4" w:rsidP="0066531E">
      <w:pPr>
        <w:jc w:val="both"/>
        <w:rPr>
          <w:rFonts w:ascii="Cambria" w:hAnsi="Cambria"/>
          <w:b/>
          <w:u w:val="single"/>
        </w:rPr>
      </w:pPr>
    </w:p>
    <w:p w:rsidR="0066531E" w:rsidRPr="009B0366" w:rsidRDefault="0066531E" w:rsidP="0066531E">
      <w:pPr>
        <w:jc w:val="both"/>
        <w:rPr>
          <w:rFonts w:ascii="Cambria" w:hAnsi="Cambria"/>
          <w:b/>
          <w:u w:val="single"/>
        </w:rPr>
      </w:pPr>
      <w:r w:rsidRPr="009B0366">
        <w:rPr>
          <w:rFonts w:ascii="Cambria" w:hAnsi="Cambria"/>
          <w:b/>
          <w:u w:val="single"/>
        </w:rPr>
        <w:lastRenderedPageBreak/>
        <w:t>Overall Comments on Debt Management</w:t>
      </w:r>
    </w:p>
    <w:p w:rsidR="0066531E" w:rsidRPr="009B0366" w:rsidRDefault="0066531E" w:rsidP="0066531E">
      <w:pPr>
        <w:pStyle w:val="ListParagraph"/>
        <w:ind w:left="0"/>
        <w:jc w:val="both"/>
        <w:rPr>
          <w:rFonts w:ascii="Cambria" w:hAnsi="Cambria"/>
          <w:b/>
          <w:sz w:val="24"/>
          <w:szCs w:val="24"/>
        </w:rPr>
      </w:pPr>
      <w:r w:rsidRPr="009B0366">
        <w:rPr>
          <w:rFonts w:ascii="Cambria" w:hAnsi="Cambria"/>
          <w:b/>
          <w:sz w:val="24"/>
          <w:szCs w:val="24"/>
        </w:rPr>
        <w:t>In respect of time series analysis debt ratio is strong &amp; TIE</w:t>
      </w:r>
      <w:r>
        <w:rPr>
          <w:rFonts w:ascii="Cambria" w:hAnsi="Cambria"/>
          <w:b/>
          <w:sz w:val="24"/>
          <w:szCs w:val="24"/>
        </w:rPr>
        <w:t xml:space="preserve"> ratio</w:t>
      </w:r>
      <w:r w:rsidRPr="009B0366">
        <w:rPr>
          <w:rFonts w:ascii="Cambria" w:hAnsi="Cambria"/>
          <w:b/>
          <w:sz w:val="24"/>
          <w:szCs w:val="24"/>
        </w:rPr>
        <w:t xml:space="preserve"> indicates that the firm was relatively stable over the period.</w:t>
      </w:r>
    </w:p>
    <w:p w:rsidR="0066531E" w:rsidRPr="009B0366" w:rsidRDefault="0066531E" w:rsidP="0066531E">
      <w:pPr>
        <w:pStyle w:val="ListParagraph"/>
        <w:ind w:left="0"/>
        <w:jc w:val="both"/>
        <w:rPr>
          <w:rFonts w:ascii="Cambria" w:hAnsi="Cambria"/>
          <w:b/>
          <w:sz w:val="24"/>
          <w:szCs w:val="24"/>
        </w:rPr>
      </w:pPr>
      <w:r w:rsidRPr="009B0366">
        <w:rPr>
          <w:rFonts w:ascii="Cambria" w:hAnsi="Cambria"/>
          <w:b/>
          <w:sz w:val="24"/>
          <w:szCs w:val="24"/>
        </w:rPr>
        <w:t>From cross section analysis it is found that the firms debt ratio is weak than Olympic.</w:t>
      </w:r>
    </w:p>
    <w:p w:rsidR="0066531E" w:rsidRDefault="0066531E" w:rsidP="001100E4">
      <w:pPr>
        <w:pStyle w:val="ListParagraph"/>
        <w:ind w:left="0"/>
        <w:jc w:val="both"/>
        <w:rPr>
          <w:rFonts w:ascii="Cambria" w:hAnsi="Cambria"/>
          <w:b/>
          <w:sz w:val="24"/>
          <w:szCs w:val="24"/>
        </w:rPr>
      </w:pPr>
      <w:r w:rsidRPr="009B0366">
        <w:rPr>
          <w:rFonts w:ascii="Cambria" w:hAnsi="Cambria"/>
          <w:b/>
          <w:sz w:val="24"/>
          <w:szCs w:val="24"/>
        </w:rPr>
        <w:t>Higher debt leads to a higher EPS which is a positive sign for the firm.</w:t>
      </w:r>
      <w:r w:rsidRPr="001100E4">
        <w:rPr>
          <w:rFonts w:ascii="Cambria" w:hAnsi="Cambria"/>
          <w:b/>
          <w:sz w:val="24"/>
          <w:szCs w:val="24"/>
        </w:rPr>
        <w:t>Profitability ratios show the combined effect of liquidity, asset management, and debt management on operating results. It is the net result of a number of policies and decisions.</w:t>
      </w:r>
    </w:p>
    <w:p w:rsidR="001100E4" w:rsidRPr="001100E4" w:rsidRDefault="001100E4" w:rsidP="001100E4">
      <w:pPr>
        <w:pStyle w:val="ListParagraph"/>
        <w:ind w:left="0"/>
        <w:jc w:val="both"/>
        <w:rPr>
          <w:rFonts w:ascii="Cambria" w:hAnsi="Cambria"/>
          <w:b/>
          <w:sz w:val="24"/>
          <w:szCs w:val="24"/>
        </w:rPr>
      </w:pPr>
    </w:p>
    <w:p w:rsidR="0066531E" w:rsidRPr="001100E4" w:rsidRDefault="0066531E" w:rsidP="0066531E">
      <w:pPr>
        <w:spacing w:line="360" w:lineRule="auto"/>
        <w:jc w:val="both"/>
        <w:rPr>
          <w:rFonts w:ascii="Cambria" w:hAnsi="Cambria"/>
          <w:b/>
          <w:bCs/>
          <w:sz w:val="24"/>
          <w:szCs w:val="24"/>
        </w:rPr>
      </w:pPr>
      <w:r w:rsidRPr="001100E4">
        <w:rPr>
          <w:rFonts w:ascii="Cambria" w:hAnsi="Cambria"/>
          <w:b/>
          <w:sz w:val="24"/>
          <w:szCs w:val="24"/>
          <w:u w:val="single"/>
        </w:rPr>
        <w:t>Profitability Ratio:</w:t>
      </w:r>
    </w:p>
    <w:p w:rsidR="0066531E" w:rsidRPr="00002D26" w:rsidRDefault="0066531E" w:rsidP="0066531E">
      <w:pPr>
        <w:spacing w:line="360" w:lineRule="auto"/>
        <w:jc w:val="both"/>
        <w:rPr>
          <w:rFonts w:ascii="Cambria" w:hAnsi="Cambria"/>
          <w:b/>
          <w:u w:val="single"/>
        </w:rPr>
      </w:pPr>
      <w:r w:rsidRPr="00002D26">
        <w:rPr>
          <w:rFonts w:ascii="Cambria" w:hAnsi="Cambria"/>
          <w:b/>
          <w:u w:val="single"/>
        </w:rPr>
        <w:t>Profit Margin on Sales:</w:t>
      </w:r>
    </w:p>
    <w:p w:rsidR="0066531E" w:rsidRPr="00002D26" w:rsidRDefault="0066531E" w:rsidP="0066531E">
      <w:pPr>
        <w:spacing w:line="360" w:lineRule="auto"/>
        <w:jc w:val="both"/>
        <w:rPr>
          <w:rFonts w:ascii="Cambria" w:hAnsi="Cambria"/>
          <w:b/>
        </w:rPr>
      </w:pPr>
      <w:r w:rsidRPr="00002D26">
        <w:rPr>
          <w:rFonts w:ascii="Cambria" w:hAnsi="Cambria"/>
          <w:b/>
        </w:rPr>
        <w:t>Profit margin on sales = Net Income/ Sales</w:t>
      </w:r>
    </w:p>
    <w:p w:rsidR="0066531E" w:rsidRPr="00002D26" w:rsidRDefault="0066531E" w:rsidP="0066531E">
      <w:pPr>
        <w:spacing w:line="360" w:lineRule="auto"/>
        <w:jc w:val="both"/>
        <w:rPr>
          <w:rFonts w:ascii="Cambria" w:hAnsi="Cambria"/>
        </w:rPr>
      </w:pPr>
      <w:r w:rsidRPr="00002D26">
        <w:rPr>
          <w:rFonts w:ascii="Cambria" w:hAnsi="Cambria"/>
        </w:rPr>
        <w:t>The following trend shows the Profit margin on sales data of the 2 companies-</w:t>
      </w:r>
    </w:p>
    <w:p w:rsidR="0066531E" w:rsidRPr="00002D26" w:rsidRDefault="0066531E" w:rsidP="0066531E">
      <w:pPr>
        <w:spacing w:line="360" w:lineRule="auto"/>
        <w:jc w:val="both"/>
        <w:rPr>
          <w:rFonts w:ascii="Cambria" w:hAnsi="Cambria"/>
        </w:rPr>
      </w:pPr>
      <w:r>
        <w:rPr>
          <w:rFonts w:ascii="Cambria" w:hAnsi="Cambria"/>
          <w:noProof/>
          <w:lang w:bidi="bn-BD"/>
        </w:rPr>
        <w:drawing>
          <wp:inline distT="0" distB="0" distL="0" distR="0">
            <wp:extent cx="4686032" cy="2130750"/>
            <wp:effectExtent l="11672" t="4844" r="5106" b="1816"/>
            <wp:docPr id="13"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6531E" w:rsidRPr="00A3666A" w:rsidRDefault="0066531E" w:rsidP="0066531E">
      <w:pPr>
        <w:pStyle w:val="Caption"/>
        <w:jc w:val="both"/>
        <w:rPr>
          <w:rFonts w:ascii="Cambria" w:hAnsi="Cambria"/>
          <w:bCs w:val="0"/>
          <w:sz w:val="18"/>
          <w:szCs w:val="18"/>
        </w:rPr>
      </w:pPr>
      <w:r w:rsidRPr="00A3666A">
        <w:rPr>
          <w:rFonts w:ascii="Cambria" w:hAnsi="Cambria"/>
          <w:sz w:val="18"/>
          <w:szCs w:val="18"/>
        </w:rPr>
        <w:t xml:space="preserve">Figure 12: </w:t>
      </w:r>
      <w:r w:rsidRPr="00A3666A">
        <w:rPr>
          <w:rFonts w:ascii="Cambria" w:hAnsi="Cambria"/>
          <w:bCs w:val="0"/>
          <w:sz w:val="18"/>
          <w:szCs w:val="18"/>
        </w:rPr>
        <w:t>Profit margin Ratios of Bangas &amp; Olympic for the years 2005-2009</w:t>
      </w:r>
    </w:p>
    <w:p w:rsidR="0066531E" w:rsidRPr="00002D26" w:rsidRDefault="0066531E" w:rsidP="0066531E">
      <w:pPr>
        <w:jc w:val="both"/>
        <w:rPr>
          <w:rFonts w:ascii="Cambria" w:hAnsi="Cambria"/>
          <w:b/>
        </w:rPr>
      </w:pPr>
    </w:p>
    <w:p w:rsidR="0066531E" w:rsidRDefault="0066531E" w:rsidP="0066531E">
      <w:pPr>
        <w:jc w:val="both"/>
        <w:rPr>
          <w:rFonts w:ascii="Cambria" w:hAnsi="Cambria"/>
          <w:b/>
          <w:u w:val="single"/>
        </w:rPr>
      </w:pPr>
      <w:r w:rsidRPr="00002D26">
        <w:rPr>
          <w:rFonts w:ascii="Cambria" w:hAnsi="Cambria"/>
          <w:b/>
          <w:u w:val="single"/>
        </w:rPr>
        <w:t xml:space="preserve">Comments </w:t>
      </w:r>
    </w:p>
    <w:p w:rsidR="0066531E" w:rsidRPr="00002D26" w:rsidRDefault="0066531E" w:rsidP="0066531E">
      <w:pPr>
        <w:pStyle w:val="ListParagraph"/>
        <w:ind w:left="0"/>
        <w:jc w:val="both"/>
        <w:rPr>
          <w:rFonts w:ascii="Cambria" w:hAnsi="Cambria"/>
          <w:sz w:val="24"/>
          <w:szCs w:val="24"/>
        </w:rPr>
      </w:pPr>
      <w:r w:rsidRPr="00002D26">
        <w:rPr>
          <w:rFonts w:ascii="Cambria" w:hAnsi="Cambria"/>
          <w:sz w:val="24"/>
          <w:szCs w:val="24"/>
        </w:rPr>
        <w:t>Bangas profit margin on sales decreasing than previous but it remains almost stable over the period.</w:t>
      </w:r>
    </w:p>
    <w:p w:rsidR="0066531E" w:rsidRPr="00002D26" w:rsidRDefault="0066531E" w:rsidP="0066531E">
      <w:pPr>
        <w:pStyle w:val="ListParagraph"/>
        <w:ind w:left="0"/>
        <w:jc w:val="both"/>
        <w:rPr>
          <w:rFonts w:ascii="Cambria" w:hAnsi="Cambria"/>
          <w:sz w:val="24"/>
          <w:szCs w:val="24"/>
        </w:rPr>
      </w:pPr>
      <w:r w:rsidRPr="00002D26">
        <w:rPr>
          <w:rFonts w:ascii="Cambria" w:hAnsi="Cambria"/>
          <w:sz w:val="24"/>
          <w:szCs w:val="24"/>
        </w:rPr>
        <w:t>Compared to Olympic which was very fluctuating, the profit margin of Bangas is considerably lower and Steady over the period.</w:t>
      </w:r>
    </w:p>
    <w:p w:rsidR="001100E4" w:rsidRDefault="001100E4" w:rsidP="0066531E">
      <w:pPr>
        <w:spacing w:line="360" w:lineRule="auto"/>
        <w:jc w:val="both"/>
        <w:rPr>
          <w:rFonts w:ascii="Cambria" w:hAnsi="Cambria"/>
          <w:b/>
          <w:u w:val="single"/>
        </w:rPr>
      </w:pPr>
    </w:p>
    <w:p w:rsidR="001100E4" w:rsidRDefault="001100E4" w:rsidP="0066531E">
      <w:pPr>
        <w:spacing w:line="360" w:lineRule="auto"/>
        <w:jc w:val="both"/>
        <w:rPr>
          <w:rFonts w:ascii="Cambria" w:hAnsi="Cambria"/>
          <w:b/>
          <w:u w:val="single"/>
        </w:rPr>
      </w:pPr>
    </w:p>
    <w:p w:rsidR="001100E4" w:rsidRDefault="001100E4" w:rsidP="0066531E">
      <w:pPr>
        <w:spacing w:line="360" w:lineRule="auto"/>
        <w:jc w:val="both"/>
        <w:rPr>
          <w:rFonts w:ascii="Cambria" w:hAnsi="Cambria"/>
          <w:b/>
          <w:u w:val="single"/>
        </w:rPr>
      </w:pPr>
    </w:p>
    <w:p w:rsidR="0066531E" w:rsidRPr="00002D26" w:rsidRDefault="0066531E" w:rsidP="0066531E">
      <w:pPr>
        <w:spacing w:line="360" w:lineRule="auto"/>
        <w:jc w:val="both"/>
        <w:rPr>
          <w:rFonts w:ascii="Cambria" w:hAnsi="Cambria"/>
          <w:b/>
          <w:u w:val="single"/>
        </w:rPr>
      </w:pPr>
      <w:r w:rsidRPr="00002D26">
        <w:rPr>
          <w:rFonts w:ascii="Cambria" w:hAnsi="Cambria"/>
          <w:b/>
          <w:u w:val="single"/>
        </w:rPr>
        <w:lastRenderedPageBreak/>
        <w:t>Return on Asset (ROA):</w:t>
      </w:r>
    </w:p>
    <w:p w:rsidR="0066531E" w:rsidRPr="00002D26" w:rsidRDefault="0066531E" w:rsidP="0066531E">
      <w:pPr>
        <w:spacing w:line="360" w:lineRule="auto"/>
        <w:jc w:val="both"/>
        <w:rPr>
          <w:rFonts w:ascii="Cambria" w:hAnsi="Cambria"/>
          <w:b/>
        </w:rPr>
      </w:pPr>
      <w:r w:rsidRPr="00002D26">
        <w:rPr>
          <w:rFonts w:ascii="Cambria" w:hAnsi="Cambria"/>
          <w:b/>
        </w:rPr>
        <w:t>Return on Asset (ROA) = Net Income / Total Assets</w:t>
      </w:r>
    </w:p>
    <w:p w:rsidR="0066531E" w:rsidRPr="00002D26" w:rsidRDefault="0066531E" w:rsidP="0066531E">
      <w:pPr>
        <w:jc w:val="both"/>
        <w:rPr>
          <w:rFonts w:ascii="Cambria" w:hAnsi="Cambria"/>
        </w:rPr>
      </w:pPr>
      <w:r w:rsidRPr="00002D26">
        <w:rPr>
          <w:rFonts w:ascii="Cambria" w:hAnsi="Cambria"/>
        </w:rPr>
        <w:t>The following table shows the ROA data of the 2 companies</w:t>
      </w:r>
    </w:p>
    <w:p w:rsidR="0066531E" w:rsidRPr="00002D26" w:rsidRDefault="0066531E" w:rsidP="0066531E">
      <w:pPr>
        <w:jc w:val="both"/>
        <w:rPr>
          <w:rFonts w:ascii="Cambria" w:hAnsi="Cambria"/>
        </w:rPr>
      </w:pPr>
      <w:r>
        <w:rPr>
          <w:rFonts w:ascii="Cambria" w:hAnsi="Cambria"/>
          <w:noProof/>
          <w:lang w:bidi="bn-BD"/>
        </w:rPr>
        <w:drawing>
          <wp:inline distT="0" distB="0" distL="0" distR="0">
            <wp:extent cx="4555689" cy="2275098"/>
            <wp:effectExtent l="11347" t="5187" r="4964" b="0"/>
            <wp:docPr id="14"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6531E" w:rsidRPr="00A3666A" w:rsidRDefault="0066531E" w:rsidP="0066531E">
      <w:pPr>
        <w:pStyle w:val="Caption"/>
        <w:jc w:val="both"/>
        <w:rPr>
          <w:rFonts w:ascii="Cambria" w:hAnsi="Cambria"/>
          <w:bCs w:val="0"/>
          <w:sz w:val="18"/>
          <w:szCs w:val="18"/>
        </w:rPr>
      </w:pPr>
      <w:r w:rsidRPr="00A3666A">
        <w:rPr>
          <w:rFonts w:ascii="Cambria" w:hAnsi="Cambria"/>
          <w:sz w:val="18"/>
          <w:szCs w:val="18"/>
        </w:rPr>
        <w:t xml:space="preserve">Figure 13: </w:t>
      </w:r>
      <w:r w:rsidRPr="00A3666A">
        <w:rPr>
          <w:rFonts w:ascii="Cambria" w:hAnsi="Cambria"/>
          <w:bCs w:val="0"/>
          <w:sz w:val="18"/>
          <w:szCs w:val="18"/>
        </w:rPr>
        <w:t>Return on Asset Ratios of Bangas &amp; Olympic for the years 2005-2009</w:t>
      </w:r>
    </w:p>
    <w:p w:rsidR="0066531E" w:rsidRDefault="0066531E" w:rsidP="0066531E">
      <w:pPr>
        <w:jc w:val="both"/>
        <w:rPr>
          <w:rFonts w:ascii="Cambria" w:hAnsi="Cambria"/>
          <w:b/>
          <w:u w:val="single"/>
        </w:rPr>
      </w:pPr>
    </w:p>
    <w:p w:rsidR="0066531E" w:rsidRDefault="0066531E" w:rsidP="0066531E">
      <w:pPr>
        <w:jc w:val="both"/>
        <w:rPr>
          <w:rFonts w:ascii="Cambria" w:hAnsi="Cambria"/>
          <w:b/>
          <w:u w:val="single"/>
        </w:rPr>
      </w:pPr>
      <w:r w:rsidRPr="00002D26">
        <w:rPr>
          <w:rFonts w:ascii="Cambria" w:hAnsi="Cambria"/>
          <w:b/>
          <w:u w:val="single"/>
        </w:rPr>
        <w:t>Comments</w:t>
      </w:r>
    </w:p>
    <w:p w:rsidR="0066531E" w:rsidRPr="00002D26" w:rsidRDefault="0066531E" w:rsidP="0066531E">
      <w:pPr>
        <w:pStyle w:val="ListParagraph"/>
        <w:ind w:left="0"/>
        <w:jc w:val="both"/>
        <w:rPr>
          <w:rFonts w:ascii="Cambria" w:hAnsi="Cambria"/>
          <w:sz w:val="24"/>
          <w:szCs w:val="24"/>
        </w:rPr>
      </w:pPr>
      <w:r w:rsidRPr="00002D26">
        <w:rPr>
          <w:rFonts w:ascii="Cambria" w:hAnsi="Cambria"/>
          <w:sz w:val="24"/>
          <w:szCs w:val="24"/>
        </w:rPr>
        <w:t xml:space="preserve">From 2007 to 09 the firm’s ROA is decreasing than previous but remains almost stable over the period. The ROA is also lower than Olympic </w:t>
      </w:r>
    </w:p>
    <w:p w:rsidR="0066531E" w:rsidRDefault="0066531E" w:rsidP="0066531E">
      <w:pPr>
        <w:pStyle w:val="ListParagraph"/>
        <w:ind w:left="0"/>
        <w:jc w:val="both"/>
        <w:rPr>
          <w:rFonts w:ascii="Cambria" w:hAnsi="Cambria"/>
          <w:sz w:val="24"/>
          <w:szCs w:val="24"/>
        </w:rPr>
      </w:pPr>
      <w:r w:rsidRPr="00002D26">
        <w:rPr>
          <w:rFonts w:ascii="Cambria" w:hAnsi="Cambria"/>
          <w:sz w:val="24"/>
          <w:szCs w:val="24"/>
        </w:rPr>
        <w:t>Stable level of sales leads to a stable income and thus the investor has no reason for over expectation which is also advantageous.</w:t>
      </w:r>
    </w:p>
    <w:p w:rsidR="0066531E" w:rsidRDefault="0066531E" w:rsidP="0066531E">
      <w:pPr>
        <w:pStyle w:val="ListParagraph"/>
        <w:ind w:left="0"/>
        <w:jc w:val="both"/>
        <w:rPr>
          <w:rFonts w:ascii="Cambria" w:hAnsi="Cambria"/>
          <w:sz w:val="24"/>
          <w:szCs w:val="24"/>
        </w:rPr>
      </w:pPr>
    </w:p>
    <w:p w:rsidR="0066531E" w:rsidRPr="00002D26" w:rsidRDefault="0066531E" w:rsidP="0066531E">
      <w:pPr>
        <w:pStyle w:val="ListParagraph"/>
        <w:ind w:left="0"/>
        <w:jc w:val="both"/>
        <w:rPr>
          <w:rFonts w:ascii="Cambria" w:hAnsi="Cambria"/>
          <w:sz w:val="24"/>
          <w:szCs w:val="24"/>
        </w:rPr>
      </w:pPr>
      <w:r w:rsidRPr="00002D26">
        <w:rPr>
          <w:rFonts w:ascii="Cambria" w:hAnsi="Cambria"/>
          <w:b/>
          <w:sz w:val="24"/>
          <w:szCs w:val="24"/>
          <w:u w:val="single"/>
        </w:rPr>
        <w:t>Return on Equity (ROE):</w:t>
      </w:r>
    </w:p>
    <w:p w:rsidR="001100E4" w:rsidRDefault="0066531E" w:rsidP="0066531E">
      <w:pPr>
        <w:spacing w:line="360" w:lineRule="auto"/>
        <w:jc w:val="both"/>
        <w:rPr>
          <w:rFonts w:ascii="Cambria" w:hAnsi="Cambria"/>
          <w:b/>
        </w:rPr>
      </w:pPr>
      <w:r w:rsidRPr="00002D26">
        <w:rPr>
          <w:rFonts w:ascii="Cambria" w:hAnsi="Cambria"/>
          <w:b/>
        </w:rPr>
        <w:t>Return on Equity (ROE) = Net income / Total Shareholders’ Equity</w:t>
      </w:r>
    </w:p>
    <w:p w:rsidR="0066531E" w:rsidRPr="001100E4" w:rsidRDefault="0066531E" w:rsidP="0066531E">
      <w:pPr>
        <w:spacing w:line="360" w:lineRule="auto"/>
        <w:jc w:val="both"/>
        <w:rPr>
          <w:rFonts w:ascii="Cambria" w:hAnsi="Cambria"/>
          <w:b/>
        </w:rPr>
      </w:pPr>
      <w:r w:rsidRPr="00002D26">
        <w:rPr>
          <w:rFonts w:ascii="Cambria" w:hAnsi="Cambria"/>
        </w:rPr>
        <w:t>The following table shows the ROE data of the 2 companies-</w:t>
      </w:r>
    </w:p>
    <w:p w:rsidR="0066531E" w:rsidRPr="00002D26" w:rsidRDefault="0066531E" w:rsidP="0066531E">
      <w:pPr>
        <w:spacing w:line="360" w:lineRule="auto"/>
        <w:jc w:val="both"/>
        <w:rPr>
          <w:rFonts w:ascii="Cambria" w:hAnsi="Cambria"/>
        </w:rPr>
      </w:pPr>
      <w:r>
        <w:rPr>
          <w:rFonts w:ascii="Cambria" w:hAnsi="Cambria"/>
          <w:noProof/>
          <w:lang w:bidi="bn-BD"/>
        </w:rPr>
        <w:drawing>
          <wp:inline distT="0" distB="0" distL="0" distR="0">
            <wp:extent cx="4520255" cy="2059739"/>
            <wp:effectExtent l="11259" t="4557" r="4926" b="1994"/>
            <wp:docPr id="15"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6531E" w:rsidRPr="00A3666A" w:rsidRDefault="0066531E" w:rsidP="0066531E">
      <w:pPr>
        <w:pStyle w:val="Caption"/>
        <w:jc w:val="both"/>
        <w:rPr>
          <w:rFonts w:ascii="Cambria" w:hAnsi="Cambria"/>
          <w:bCs w:val="0"/>
          <w:sz w:val="18"/>
          <w:szCs w:val="18"/>
        </w:rPr>
      </w:pPr>
      <w:r w:rsidRPr="00A3666A">
        <w:rPr>
          <w:rFonts w:ascii="Cambria" w:hAnsi="Cambria"/>
          <w:sz w:val="18"/>
          <w:szCs w:val="18"/>
        </w:rPr>
        <w:t xml:space="preserve">Figure 14: </w:t>
      </w:r>
      <w:r w:rsidRPr="00A3666A">
        <w:rPr>
          <w:rFonts w:ascii="Cambria" w:hAnsi="Cambria"/>
          <w:bCs w:val="0"/>
          <w:sz w:val="18"/>
          <w:szCs w:val="18"/>
        </w:rPr>
        <w:t>Return on Equity Ratios of Bangas &amp; Olympic for the years 2005-2009</w:t>
      </w:r>
    </w:p>
    <w:p w:rsidR="0066531E" w:rsidRDefault="0066531E" w:rsidP="0066531E">
      <w:pPr>
        <w:pStyle w:val="Caption"/>
        <w:jc w:val="both"/>
        <w:rPr>
          <w:rFonts w:ascii="Cambria" w:hAnsi="Cambria"/>
          <w:bCs w:val="0"/>
          <w:sz w:val="24"/>
          <w:szCs w:val="24"/>
        </w:rPr>
      </w:pPr>
    </w:p>
    <w:p w:rsidR="0066531E" w:rsidRPr="00002D26" w:rsidRDefault="0066531E" w:rsidP="0066531E">
      <w:pPr>
        <w:pStyle w:val="Caption"/>
        <w:jc w:val="both"/>
        <w:rPr>
          <w:rFonts w:ascii="Cambria" w:hAnsi="Cambria"/>
          <w:bCs w:val="0"/>
          <w:sz w:val="24"/>
          <w:szCs w:val="24"/>
        </w:rPr>
      </w:pPr>
      <w:r w:rsidRPr="00002D26">
        <w:rPr>
          <w:rFonts w:ascii="Cambria" w:hAnsi="Cambria"/>
          <w:sz w:val="24"/>
          <w:szCs w:val="24"/>
          <w:u w:val="single"/>
        </w:rPr>
        <w:t>Comments:</w:t>
      </w:r>
    </w:p>
    <w:p w:rsidR="0066531E" w:rsidRPr="00002D26" w:rsidRDefault="0066531E" w:rsidP="0066531E">
      <w:pPr>
        <w:spacing w:line="360" w:lineRule="auto"/>
        <w:jc w:val="both"/>
        <w:rPr>
          <w:rFonts w:ascii="Cambria" w:hAnsi="Cambria"/>
          <w:b/>
          <w:u w:val="single"/>
        </w:rPr>
      </w:pPr>
    </w:p>
    <w:p w:rsidR="0066531E" w:rsidRDefault="0066531E" w:rsidP="0066531E">
      <w:pPr>
        <w:pStyle w:val="ListParagraph"/>
        <w:spacing w:line="360" w:lineRule="auto"/>
        <w:ind w:left="0"/>
        <w:jc w:val="both"/>
        <w:rPr>
          <w:rFonts w:ascii="Cambria" w:hAnsi="Cambria"/>
          <w:sz w:val="24"/>
          <w:szCs w:val="24"/>
        </w:rPr>
      </w:pPr>
      <w:r w:rsidRPr="00002D26">
        <w:rPr>
          <w:rFonts w:ascii="Cambria" w:hAnsi="Cambria"/>
          <w:sz w:val="24"/>
          <w:szCs w:val="24"/>
        </w:rPr>
        <w:t>The firm’s ROE goes down in 2008-09 but remains somewhat stable over the period.</w:t>
      </w:r>
    </w:p>
    <w:p w:rsidR="0066531E" w:rsidRPr="00002D26" w:rsidRDefault="0066531E" w:rsidP="0066531E">
      <w:pPr>
        <w:pStyle w:val="ListParagraph"/>
        <w:spacing w:line="360" w:lineRule="auto"/>
        <w:ind w:left="0"/>
        <w:jc w:val="both"/>
        <w:rPr>
          <w:rFonts w:ascii="Cambria" w:hAnsi="Cambria"/>
          <w:sz w:val="24"/>
          <w:szCs w:val="24"/>
        </w:rPr>
      </w:pPr>
      <w:r w:rsidRPr="00002D26">
        <w:rPr>
          <w:rFonts w:ascii="Cambria" w:hAnsi="Cambria"/>
          <w:sz w:val="24"/>
          <w:szCs w:val="24"/>
        </w:rPr>
        <w:t>Compared to Rival, the firm has a lower ROE but it hasn’t the ROE as fluctuating as Olympic.</w:t>
      </w:r>
    </w:p>
    <w:p w:rsidR="0066531E" w:rsidRPr="0069486D" w:rsidRDefault="0066531E" w:rsidP="0066531E">
      <w:pPr>
        <w:jc w:val="both"/>
        <w:rPr>
          <w:rFonts w:ascii="Cambria" w:hAnsi="Cambria"/>
          <w:b/>
          <w:u w:val="single"/>
        </w:rPr>
      </w:pPr>
      <w:r w:rsidRPr="0069486D">
        <w:rPr>
          <w:rFonts w:ascii="Cambria" w:hAnsi="Cambria"/>
          <w:b/>
          <w:u w:val="single"/>
        </w:rPr>
        <w:t>Overall Comments on Profitability Ratio</w:t>
      </w:r>
    </w:p>
    <w:p w:rsidR="001100E4" w:rsidRDefault="0066531E" w:rsidP="0066531E">
      <w:pPr>
        <w:spacing w:line="360" w:lineRule="auto"/>
        <w:jc w:val="both"/>
        <w:rPr>
          <w:rFonts w:ascii="Cambria" w:hAnsi="Cambria"/>
          <w:b/>
        </w:rPr>
      </w:pPr>
      <w:r w:rsidRPr="0069486D">
        <w:rPr>
          <w:rFonts w:ascii="Cambria" w:hAnsi="Cambria"/>
          <w:b/>
        </w:rPr>
        <w:t>All the profitability ratios are poorer than those of the comparing Olympic Ltd. decline is also noticeable compared to those of previous year. Both Asset Turnover and Return on Assets ratios are significantly lower for the firm in 2009 than the previous year.</w:t>
      </w:r>
    </w:p>
    <w:p w:rsidR="0066531E" w:rsidRPr="0069486D" w:rsidRDefault="0066531E" w:rsidP="0066531E">
      <w:pPr>
        <w:spacing w:line="360" w:lineRule="auto"/>
        <w:jc w:val="both"/>
        <w:rPr>
          <w:rFonts w:ascii="Cambria" w:hAnsi="Cambria"/>
          <w:b/>
        </w:rPr>
      </w:pPr>
      <w:r w:rsidRPr="0069486D">
        <w:rPr>
          <w:rFonts w:ascii="Cambria" w:hAnsi="Cambria"/>
          <w:b/>
        </w:rPr>
        <w:t xml:space="preserve"> On the other hand, Financial Leverage is higher than the rival industry. This confirms the earlier observation of excess of fixed assets and inventories, and debt. The firm should allocate to inventory and asset management. Thus, operating activities of the firm suffered from poor liquidity position, poor asset management, and above average debt</w:t>
      </w:r>
    </w:p>
    <w:p w:rsidR="0066531E" w:rsidRPr="00002D26" w:rsidRDefault="0066531E" w:rsidP="0066531E">
      <w:pPr>
        <w:spacing w:line="360" w:lineRule="auto"/>
        <w:jc w:val="both"/>
        <w:rPr>
          <w:rFonts w:ascii="Cambria" w:hAnsi="Cambria"/>
          <w:b/>
        </w:rPr>
      </w:pPr>
    </w:p>
    <w:p w:rsidR="0066531E" w:rsidRPr="001100E4" w:rsidRDefault="0066531E" w:rsidP="0066531E">
      <w:pPr>
        <w:spacing w:line="360" w:lineRule="auto"/>
        <w:jc w:val="both"/>
        <w:rPr>
          <w:rFonts w:ascii="Cambria" w:hAnsi="Cambria"/>
          <w:b/>
          <w:sz w:val="24"/>
          <w:szCs w:val="24"/>
          <w:u w:val="single"/>
        </w:rPr>
      </w:pPr>
      <w:r w:rsidRPr="001100E4">
        <w:rPr>
          <w:rFonts w:ascii="Cambria" w:hAnsi="Cambria"/>
          <w:b/>
          <w:sz w:val="24"/>
          <w:szCs w:val="24"/>
          <w:u w:val="single"/>
        </w:rPr>
        <w:t>Market Value Ratio</w:t>
      </w:r>
    </w:p>
    <w:p w:rsidR="0066531E" w:rsidRPr="00002D26" w:rsidRDefault="0066531E" w:rsidP="0066531E">
      <w:pPr>
        <w:spacing w:line="360" w:lineRule="auto"/>
        <w:jc w:val="both"/>
        <w:rPr>
          <w:rFonts w:ascii="Cambria" w:hAnsi="Cambria"/>
          <w:b/>
          <w:u w:val="single"/>
        </w:rPr>
      </w:pPr>
      <w:r w:rsidRPr="00002D26">
        <w:rPr>
          <w:rFonts w:ascii="Cambria" w:hAnsi="Cambria"/>
          <w:b/>
          <w:u w:val="single"/>
        </w:rPr>
        <w:t>Earnings per Share (EPS):</w:t>
      </w:r>
    </w:p>
    <w:p w:rsidR="0066531E" w:rsidRPr="00002D26" w:rsidRDefault="0066531E" w:rsidP="0066531E">
      <w:pPr>
        <w:spacing w:line="360" w:lineRule="auto"/>
        <w:jc w:val="both"/>
        <w:rPr>
          <w:rFonts w:ascii="Cambria" w:hAnsi="Cambria"/>
          <w:b/>
        </w:rPr>
      </w:pPr>
      <w:r w:rsidRPr="00002D26">
        <w:rPr>
          <w:rFonts w:ascii="Cambria" w:hAnsi="Cambria"/>
          <w:b/>
        </w:rPr>
        <w:t>EPS = Net Income/ Number of Shares Outstanding</w:t>
      </w:r>
    </w:p>
    <w:p w:rsidR="0066531E" w:rsidRPr="00002D26" w:rsidRDefault="0066531E" w:rsidP="0066531E">
      <w:pPr>
        <w:spacing w:line="360" w:lineRule="auto"/>
        <w:jc w:val="both"/>
        <w:rPr>
          <w:rFonts w:ascii="Cambria" w:hAnsi="Cambria"/>
        </w:rPr>
      </w:pPr>
      <w:r w:rsidRPr="00002D26">
        <w:rPr>
          <w:rFonts w:ascii="Cambria" w:hAnsi="Cambria"/>
        </w:rPr>
        <w:t>The following table shows the earning per share data of the 2 companies-</w:t>
      </w:r>
    </w:p>
    <w:p w:rsidR="0066531E" w:rsidRPr="00002D26" w:rsidRDefault="0066531E" w:rsidP="0066531E">
      <w:pPr>
        <w:pStyle w:val="ListParagraph"/>
        <w:keepNext/>
        <w:ind w:left="0"/>
        <w:jc w:val="both"/>
        <w:rPr>
          <w:rFonts w:ascii="Cambria" w:hAnsi="Cambria"/>
          <w:noProof/>
          <w:sz w:val="24"/>
          <w:szCs w:val="24"/>
        </w:rPr>
      </w:pPr>
      <w:r>
        <w:rPr>
          <w:rFonts w:ascii="Cambria" w:hAnsi="Cambria"/>
          <w:noProof/>
          <w:sz w:val="24"/>
          <w:szCs w:val="24"/>
          <w:lang w:bidi="bn-BD"/>
        </w:rPr>
        <w:drawing>
          <wp:inline distT="0" distB="0" distL="0" distR="0">
            <wp:extent cx="4399575" cy="2156773"/>
            <wp:effectExtent l="10940" t="4767" r="7180" b="0"/>
            <wp:docPr id="16"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02D26">
        <w:rPr>
          <w:rFonts w:ascii="Cambria" w:hAnsi="Cambria"/>
          <w:noProof/>
          <w:sz w:val="24"/>
          <w:szCs w:val="24"/>
        </w:rPr>
        <w:t xml:space="preserve"> </w:t>
      </w:r>
    </w:p>
    <w:p w:rsidR="0066531E" w:rsidRPr="00A3666A" w:rsidRDefault="0066531E" w:rsidP="0066531E">
      <w:pPr>
        <w:pStyle w:val="ListParagraph"/>
        <w:keepNext/>
        <w:ind w:left="0"/>
        <w:jc w:val="both"/>
        <w:rPr>
          <w:rFonts w:ascii="Cambria" w:hAnsi="Cambria"/>
          <w:sz w:val="18"/>
          <w:szCs w:val="18"/>
        </w:rPr>
      </w:pPr>
      <w:r w:rsidRPr="00A3666A">
        <w:rPr>
          <w:rFonts w:ascii="Cambria" w:hAnsi="Cambria"/>
          <w:b/>
          <w:sz w:val="18"/>
          <w:szCs w:val="18"/>
        </w:rPr>
        <w:t xml:space="preserve">Figure </w:t>
      </w:r>
      <w:r w:rsidR="002A20DB" w:rsidRPr="00A3666A">
        <w:rPr>
          <w:rFonts w:ascii="Cambria" w:hAnsi="Cambria"/>
          <w:b/>
          <w:sz w:val="18"/>
          <w:szCs w:val="18"/>
        </w:rPr>
        <w:fldChar w:fldCharType="begin"/>
      </w:r>
      <w:r w:rsidRPr="00A3666A">
        <w:rPr>
          <w:rFonts w:ascii="Cambria" w:hAnsi="Cambria"/>
          <w:b/>
          <w:sz w:val="18"/>
          <w:szCs w:val="18"/>
        </w:rPr>
        <w:instrText xml:space="preserve"> SEQ Figure \* ARABIC </w:instrText>
      </w:r>
      <w:r w:rsidR="002A20DB" w:rsidRPr="00A3666A">
        <w:rPr>
          <w:rFonts w:ascii="Cambria" w:hAnsi="Cambria"/>
          <w:b/>
          <w:sz w:val="18"/>
          <w:szCs w:val="18"/>
        </w:rPr>
        <w:fldChar w:fldCharType="separate"/>
      </w:r>
      <w:r>
        <w:rPr>
          <w:rFonts w:ascii="Cambria" w:hAnsi="Cambria"/>
          <w:b/>
          <w:noProof/>
          <w:sz w:val="18"/>
          <w:szCs w:val="18"/>
        </w:rPr>
        <w:t>5</w:t>
      </w:r>
      <w:r w:rsidR="002A20DB" w:rsidRPr="00A3666A">
        <w:rPr>
          <w:rFonts w:ascii="Cambria" w:hAnsi="Cambria"/>
          <w:b/>
          <w:sz w:val="18"/>
          <w:szCs w:val="18"/>
        </w:rPr>
        <w:fldChar w:fldCharType="end"/>
      </w:r>
      <w:r w:rsidRPr="00A3666A">
        <w:rPr>
          <w:rFonts w:ascii="Cambria" w:hAnsi="Cambria"/>
          <w:b/>
          <w:sz w:val="18"/>
          <w:szCs w:val="18"/>
        </w:rPr>
        <w:t xml:space="preserve"> Earnings per Share (EPS)</w:t>
      </w:r>
    </w:p>
    <w:p w:rsidR="001100E4" w:rsidRDefault="001100E4" w:rsidP="0066531E">
      <w:pPr>
        <w:jc w:val="both"/>
        <w:rPr>
          <w:rFonts w:ascii="Cambria" w:hAnsi="Cambria"/>
          <w:b/>
          <w:u w:val="single"/>
        </w:rPr>
      </w:pPr>
    </w:p>
    <w:p w:rsidR="001100E4" w:rsidRDefault="001100E4" w:rsidP="0066531E">
      <w:pPr>
        <w:jc w:val="both"/>
        <w:rPr>
          <w:rFonts w:ascii="Cambria" w:hAnsi="Cambria"/>
          <w:b/>
          <w:u w:val="single"/>
        </w:rPr>
      </w:pPr>
    </w:p>
    <w:p w:rsidR="0066531E" w:rsidRDefault="0066531E" w:rsidP="0066531E">
      <w:pPr>
        <w:jc w:val="both"/>
        <w:rPr>
          <w:rFonts w:ascii="Cambria" w:hAnsi="Cambria"/>
          <w:b/>
          <w:u w:val="single"/>
        </w:rPr>
      </w:pPr>
      <w:r w:rsidRPr="00002D26">
        <w:rPr>
          <w:rFonts w:ascii="Cambria" w:hAnsi="Cambria"/>
          <w:b/>
          <w:u w:val="single"/>
        </w:rPr>
        <w:lastRenderedPageBreak/>
        <w:t>Comments</w:t>
      </w:r>
    </w:p>
    <w:p w:rsidR="0066531E" w:rsidRPr="00002D26" w:rsidRDefault="0066531E" w:rsidP="0066531E">
      <w:pPr>
        <w:pStyle w:val="ListParagraph"/>
        <w:ind w:left="0"/>
        <w:jc w:val="both"/>
        <w:rPr>
          <w:rFonts w:ascii="Cambria" w:hAnsi="Cambria"/>
          <w:sz w:val="24"/>
          <w:szCs w:val="24"/>
        </w:rPr>
      </w:pPr>
      <w:r w:rsidRPr="00002D26">
        <w:rPr>
          <w:rFonts w:ascii="Cambria" w:hAnsi="Cambria"/>
          <w:sz w:val="24"/>
          <w:szCs w:val="24"/>
        </w:rPr>
        <w:t>EPS is decreasing in 2008-09 than 2007-08.But the fluctuation was not high.</w:t>
      </w:r>
    </w:p>
    <w:p w:rsidR="0066531E" w:rsidRPr="00002D26" w:rsidRDefault="0066531E" w:rsidP="0066531E">
      <w:pPr>
        <w:pStyle w:val="ListParagraph"/>
        <w:ind w:left="0"/>
        <w:jc w:val="both"/>
        <w:rPr>
          <w:rFonts w:ascii="Cambria" w:hAnsi="Cambria"/>
          <w:sz w:val="24"/>
          <w:szCs w:val="24"/>
        </w:rPr>
      </w:pPr>
      <w:r w:rsidRPr="00002D26">
        <w:rPr>
          <w:rFonts w:ascii="Cambria" w:hAnsi="Cambria"/>
          <w:sz w:val="24"/>
          <w:szCs w:val="24"/>
        </w:rPr>
        <w:t>Compared to Olympic, EPS is lower but wasn’t as fluctuating which is a good sign.</w:t>
      </w:r>
    </w:p>
    <w:p w:rsidR="001100E4" w:rsidRDefault="001100E4" w:rsidP="0066531E">
      <w:pPr>
        <w:spacing w:line="360" w:lineRule="auto"/>
        <w:jc w:val="both"/>
        <w:rPr>
          <w:rFonts w:ascii="Cambria" w:hAnsi="Cambria"/>
          <w:b/>
          <w:u w:val="single"/>
        </w:rPr>
      </w:pPr>
    </w:p>
    <w:p w:rsidR="0066531E" w:rsidRPr="00002D26" w:rsidRDefault="0066531E" w:rsidP="0066531E">
      <w:pPr>
        <w:spacing w:line="360" w:lineRule="auto"/>
        <w:jc w:val="both"/>
        <w:rPr>
          <w:rFonts w:ascii="Cambria" w:hAnsi="Cambria"/>
          <w:b/>
          <w:u w:val="single"/>
        </w:rPr>
      </w:pPr>
      <w:r w:rsidRPr="00002D26">
        <w:rPr>
          <w:rFonts w:ascii="Cambria" w:hAnsi="Cambria"/>
          <w:b/>
          <w:u w:val="single"/>
        </w:rPr>
        <w:t xml:space="preserve">Price/Earning (P/E) Ratio: </w:t>
      </w:r>
    </w:p>
    <w:p w:rsidR="0066531E" w:rsidRPr="00002D26" w:rsidRDefault="0066531E" w:rsidP="0066531E">
      <w:pPr>
        <w:spacing w:line="360" w:lineRule="auto"/>
        <w:jc w:val="both"/>
        <w:rPr>
          <w:rFonts w:ascii="Cambria" w:hAnsi="Cambria"/>
          <w:b/>
        </w:rPr>
      </w:pPr>
      <w:r w:rsidRPr="00002D26">
        <w:rPr>
          <w:rFonts w:ascii="Cambria" w:hAnsi="Cambria"/>
          <w:b/>
        </w:rPr>
        <w:t>P/E Ratio = Market Price per Share/ Earnings per Share</w:t>
      </w:r>
    </w:p>
    <w:p w:rsidR="0066531E" w:rsidRPr="00002D26" w:rsidRDefault="0066531E" w:rsidP="0066531E">
      <w:pPr>
        <w:spacing w:line="360" w:lineRule="auto"/>
        <w:jc w:val="both"/>
        <w:rPr>
          <w:rFonts w:ascii="Cambria" w:hAnsi="Cambria"/>
        </w:rPr>
      </w:pPr>
      <w:r w:rsidRPr="00002D26">
        <w:rPr>
          <w:rFonts w:ascii="Cambria" w:hAnsi="Cambria"/>
        </w:rPr>
        <w:t>The following table shows the price/earnings ratio data of the 2 companies-</w:t>
      </w:r>
    </w:p>
    <w:p w:rsidR="0066531E" w:rsidRPr="00002D26" w:rsidRDefault="0066531E" w:rsidP="0066531E">
      <w:pPr>
        <w:spacing w:line="360" w:lineRule="auto"/>
        <w:jc w:val="both"/>
        <w:rPr>
          <w:rFonts w:ascii="Cambria" w:hAnsi="Cambria"/>
        </w:rPr>
      </w:pPr>
      <w:r>
        <w:rPr>
          <w:rFonts w:ascii="Cambria" w:hAnsi="Cambria"/>
          <w:noProof/>
          <w:lang w:bidi="bn-BD"/>
        </w:rPr>
        <w:drawing>
          <wp:inline distT="0" distB="0" distL="0" distR="0">
            <wp:extent cx="4508233" cy="1966626"/>
            <wp:effectExtent l="11229" t="4414" r="4913" b="0"/>
            <wp:docPr id="17"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6531E" w:rsidRPr="00A3666A" w:rsidRDefault="0066531E" w:rsidP="0066531E">
      <w:pPr>
        <w:pStyle w:val="Caption"/>
        <w:jc w:val="both"/>
        <w:rPr>
          <w:rFonts w:ascii="Cambria" w:hAnsi="Cambria"/>
          <w:bCs w:val="0"/>
          <w:sz w:val="18"/>
          <w:szCs w:val="18"/>
        </w:rPr>
      </w:pPr>
      <w:r w:rsidRPr="00A3666A">
        <w:rPr>
          <w:rFonts w:ascii="Cambria" w:hAnsi="Cambria"/>
          <w:sz w:val="18"/>
          <w:szCs w:val="18"/>
        </w:rPr>
        <w:t xml:space="preserve">Figure 16: </w:t>
      </w:r>
      <w:r w:rsidRPr="00A3666A">
        <w:rPr>
          <w:rFonts w:ascii="Cambria" w:hAnsi="Cambria"/>
          <w:bCs w:val="0"/>
          <w:sz w:val="18"/>
          <w:szCs w:val="18"/>
        </w:rPr>
        <w:t>PE Ratios of Bangas &amp; Olympic for the years 2005-2009</w:t>
      </w:r>
    </w:p>
    <w:p w:rsidR="0066531E" w:rsidRPr="00002D26" w:rsidRDefault="0066531E" w:rsidP="0066531E">
      <w:pPr>
        <w:pStyle w:val="ListParagraph"/>
        <w:ind w:left="0"/>
        <w:jc w:val="both"/>
        <w:rPr>
          <w:rFonts w:ascii="Cambria" w:hAnsi="Cambria"/>
          <w:b/>
          <w:sz w:val="24"/>
          <w:szCs w:val="24"/>
        </w:rPr>
      </w:pPr>
    </w:p>
    <w:p w:rsidR="0066531E" w:rsidRPr="00002D26" w:rsidRDefault="0066531E" w:rsidP="0066531E">
      <w:pPr>
        <w:pStyle w:val="ListParagraph"/>
        <w:ind w:left="0"/>
        <w:jc w:val="both"/>
        <w:rPr>
          <w:rFonts w:ascii="Cambria" w:hAnsi="Cambria"/>
          <w:b/>
          <w:sz w:val="24"/>
          <w:szCs w:val="24"/>
        </w:rPr>
      </w:pPr>
    </w:p>
    <w:p w:rsidR="0066531E" w:rsidRPr="00002D26" w:rsidRDefault="0066531E" w:rsidP="0066531E">
      <w:pPr>
        <w:pStyle w:val="ListParagraph"/>
        <w:ind w:left="0"/>
        <w:jc w:val="both"/>
        <w:rPr>
          <w:rFonts w:ascii="Cambria" w:hAnsi="Cambria"/>
          <w:b/>
          <w:sz w:val="24"/>
          <w:szCs w:val="24"/>
          <w:u w:val="single"/>
        </w:rPr>
      </w:pPr>
      <w:r w:rsidRPr="00002D26">
        <w:rPr>
          <w:rFonts w:ascii="Cambria" w:hAnsi="Cambria"/>
          <w:b/>
          <w:sz w:val="24"/>
          <w:szCs w:val="24"/>
          <w:u w:val="single"/>
        </w:rPr>
        <w:t>Comments</w:t>
      </w:r>
    </w:p>
    <w:p w:rsidR="0066531E" w:rsidRPr="00002D26" w:rsidRDefault="0066531E" w:rsidP="0066531E">
      <w:pPr>
        <w:pStyle w:val="ListParagraph"/>
        <w:ind w:left="0"/>
        <w:jc w:val="both"/>
        <w:rPr>
          <w:rFonts w:ascii="Cambria" w:hAnsi="Cambria"/>
          <w:b/>
          <w:sz w:val="24"/>
          <w:szCs w:val="24"/>
        </w:rPr>
      </w:pPr>
    </w:p>
    <w:p w:rsidR="0066531E" w:rsidRPr="00002D26" w:rsidRDefault="0066531E" w:rsidP="0066531E">
      <w:pPr>
        <w:pStyle w:val="ListParagraph"/>
        <w:ind w:left="0"/>
        <w:jc w:val="both"/>
        <w:rPr>
          <w:rFonts w:ascii="Cambria" w:hAnsi="Cambria"/>
          <w:sz w:val="24"/>
          <w:szCs w:val="24"/>
        </w:rPr>
      </w:pPr>
      <w:r w:rsidRPr="00002D26">
        <w:rPr>
          <w:rFonts w:ascii="Cambria" w:hAnsi="Cambria"/>
          <w:sz w:val="24"/>
          <w:szCs w:val="24"/>
        </w:rPr>
        <w:t>P/E ratio shoots up in a high position in 2008-09 than 2007-08 also from previous year. The firm’s P/E ratio is also higher than Olympic.</w:t>
      </w:r>
    </w:p>
    <w:p w:rsidR="0066531E" w:rsidRPr="00002D26" w:rsidRDefault="0066531E" w:rsidP="0066531E">
      <w:pPr>
        <w:pStyle w:val="ListParagraph"/>
        <w:ind w:left="0"/>
        <w:jc w:val="both"/>
        <w:rPr>
          <w:rFonts w:ascii="Cambria" w:hAnsi="Cambria"/>
          <w:sz w:val="24"/>
          <w:szCs w:val="24"/>
        </w:rPr>
      </w:pPr>
    </w:p>
    <w:p w:rsidR="0066531E" w:rsidRPr="00002D26" w:rsidRDefault="0066531E" w:rsidP="0066531E">
      <w:pPr>
        <w:pStyle w:val="ListParagraph"/>
        <w:ind w:left="0"/>
        <w:jc w:val="both"/>
        <w:rPr>
          <w:rFonts w:ascii="Cambria" w:hAnsi="Cambria"/>
          <w:sz w:val="24"/>
          <w:szCs w:val="24"/>
        </w:rPr>
      </w:pPr>
      <w:r w:rsidRPr="00002D26">
        <w:rPr>
          <w:rFonts w:ascii="Cambria" w:hAnsi="Cambria"/>
          <w:sz w:val="24"/>
          <w:szCs w:val="24"/>
        </w:rPr>
        <w:t>P/E ratio is higher for firm with high growth potentials. It is evident that the firm has a stable level of liquidity, asset &amp; profitability ratio which lead to increase the market price of share to a desirable level. Hence increases the trust of investors.</w:t>
      </w:r>
    </w:p>
    <w:p w:rsidR="0066531E" w:rsidRPr="00002D26" w:rsidRDefault="0066531E" w:rsidP="0066531E">
      <w:pPr>
        <w:spacing w:line="360" w:lineRule="auto"/>
        <w:jc w:val="both"/>
        <w:rPr>
          <w:rFonts w:ascii="Cambria" w:hAnsi="Cambria"/>
          <w:b/>
          <w:u w:val="single"/>
        </w:rPr>
      </w:pPr>
      <w:r w:rsidRPr="00002D26">
        <w:rPr>
          <w:rFonts w:ascii="Cambria" w:hAnsi="Cambria"/>
          <w:b/>
          <w:u w:val="single"/>
        </w:rPr>
        <w:t>Market/Book (M/B) Ratio:</w:t>
      </w:r>
    </w:p>
    <w:p w:rsidR="0066531E" w:rsidRPr="00002D26" w:rsidRDefault="0066531E" w:rsidP="0066531E">
      <w:pPr>
        <w:spacing w:line="360" w:lineRule="auto"/>
        <w:jc w:val="both"/>
        <w:rPr>
          <w:rFonts w:ascii="Cambria" w:hAnsi="Cambria"/>
          <w:b/>
        </w:rPr>
      </w:pPr>
      <w:r w:rsidRPr="00002D26">
        <w:rPr>
          <w:rFonts w:ascii="Cambria" w:hAnsi="Cambria"/>
          <w:b/>
        </w:rPr>
        <w:t>Market /Book Ratio = Market Price per Share / Book Value per Share</w:t>
      </w:r>
    </w:p>
    <w:p w:rsidR="0066531E" w:rsidRPr="00002D26" w:rsidRDefault="0066531E" w:rsidP="0066531E">
      <w:pPr>
        <w:spacing w:line="360" w:lineRule="auto"/>
        <w:jc w:val="both"/>
        <w:rPr>
          <w:rFonts w:ascii="Cambria" w:hAnsi="Cambria"/>
        </w:rPr>
      </w:pPr>
      <w:r w:rsidRPr="00002D26">
        <w:rPr>
          <w:rFonts w:ascii="Cambria" w:hAnsi="Cambria"/>
        </w:rPr>
        <w:t>The following table shows the market/book value ratio data of the two companies-</w:t>
      </w:r>
    </w:p>
    <w:p w:rsidR="0066531E" w:rsidRPr="00002D26" w:rsidRDefault="0066531E" w:rsidP="0066531E">
      <w:pPr>
        <w:spacing w:line="360" w:lineRule="auto"/>
        <w:jc w:val="both"/>
        <w:rPr>
          <w:rFonts w:ascii="Cambria" w:hAnsi="Cambria"/>
          <w:noProof/>
        </w:rPr>
      </w:pPr>
      <w:r>
        <w:rPr>
          <w:rFonts w:ascii="Cambria" w:hAnsi="Cambria"/>
          <w:noProof/>
          <w:lang w:bidi="bn-BD"/>
        </w:rPr>
        <w:lastRenderedPageBreak/>
        <w:drawing>
          <wp:inline distT="0" distB="0" distL="0" distR="0">
            <wp:extent cx="4449389" cy="2275179"/>
            <wp:effectExtent l="11082" t="5106" r="4849" b="0"/>
            <wp:docPr id="18"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6531E" w:rsidRPr="00A3666A" w:rsidRDefault="0066531E" w:rsidP="0066531E">
      <w:pPr>
        <w:pStyle w:val="Caption"/>
        <w:jc w:val="both"/>
        <w:rPr>
          <w:rFonts w:ascii="Cambria" w:hAnsi="Cambria"/>
          <w:bCs w:val="0"/>
          <w:sz w:val="18"/>
          <w:szCs w:val="18"/>
        </w:rPr>
      </w:pPr>
      <w:r w:rsidRPr="00A3666A">
        <w:rPr>
          <w:rFonts w:ascii="Cambria" w:hAnsi="Cambria"/>
          <w:sz w:val="18"/>
          <w:szCs w:val="18"/>
        </w:rPr>
        <w:t xml:space="preserve">Figure 17: </w:t>
      </w:r>
      <w:r w:rsidRPr="00A3666A">
        <w:rPr>
          <w:rFonts w:ascii="Cambria" w:hAnsi="Cambria"/>
          <w:bCs w:val="0"/>
          <w:sz w:val="18"/>
          <w:szCs w:val="18"/>
        </w:rPr>
        <w:t>M/B Ratios of Bangas &amp; Olympic for the years 2005-2009</w:t>
      </w:r>
    </w:p>
    <w:p w:rsidR="0066531E" w:rsidRPr="00002D26" w:rsidRDefault="0066531E" w:rsidP="0066531E">
      <w:pPr>
        <w:jc w:val="both"/>
        <w:rPr>
          <w:rFonts w:ascii="Cambria" w:hAnsi="Cambria"/>
          <w:b/>
        </w:rPr>
      </w:pPr>
    </w:p>
    <w:p w:rsidR="0066531E" w:rsidRDefault="0066531E" w:rsidP="0066531E">
      <w:pPr>
        <w:jc w:val="both"/>
        <w:rPr>
          <w:rFonts w:ascii="Cambria" w:hAnsi="Cambria"/>
          <w:b/>
          <w:u w:val="single"/>
        </w:rPr>
      </w:pPr>
      <w:r w:rsidRPr="00002D26">
        <w:rPr>
          <w:rFonts w:ascii="Cambria" w:hAnsi="Cambria"/>
          <w:b/>
          <w:u w:val="single"/>
        </w:rPr>
        <w:t>Comments:</w:t>
      </w:r>
    </w:p>
    <w:p w:rsidR="0066531E" w:rsidRPr="00002D26" w:rsidRDefault="0066531E" w:rsidP="0066531E">
      <w:pPr>
        <w:jc w:val="both"/>
        <w:rPr>
          <w:rFonts w:ascii="Cambria" w:hAnsi="Cambria"/>
        </w:rPr>
      </w:pPr>
      <w:r w:rsidRPr="00002D26">
        <w:rPr>
          <w:rFonts w:ascii="Cambria" w:hAnsi="Cambria"/>
        </w:rPr>
        <w:t>In 2008-09 the Market value per share is 15 times than book value where as 3 times in 2007-08 and 1.5 times in 2006-07.</w:t>
      </w:r>
    </w:p>
    <w:p w:rsidR="0066531E" w:rsidRPr="00002D26" w:rsidRDefault="0066531E" w:rsidP="0066531E">
      <w:pPr>
        <w:jc w:val="both"/>
        <w:rPr>
          <w:rFonts w:ascii="Cambria" w:hAnsi="Cambria"/>
        </w:rPr>
      </w:pPr>
      <w:r w:rsidRPr="00002D26">
        <w:rPr>
          <w:rFonts w:ascii="Cambria" w:hAnsi="Cambria"/>
        </w:rPr>
        <w:t>The Market to Book Ratio of Olympic is highly Fluctuating Compared Bangas Market/Book value ratio which almost stable and significant.</w:t>
      </w:r>
    </w:p>
    <w:p w:rsidR="0066531E" w:rsidRPr="00002D26" w:rsidRDefault="0066531E" w:rsidP="0066531E">
      <w:pPr>
        <w:jc w:val="both"/>
        <w:rPr>
          <w:rFonts w:ascii="Cambria" w:hAnsi="Cambria"/>
          <w:b/>
          <w:u w:val="single"/>
        </w:rPr>
      </w:pPr>
      <w:r w:rsidRPr="00002D26">
        <w:rPr>
          <w:rFonts w:ascii="Cambria" w:hAnsi="Cambria"/>
          <w:b/>
          <w:u w:val="single"/>
        </w:rPr>
        <w:t>Overall Comments on Market Ratios</w:t>
      </w:r>
    </w:p>
    <w:p w:rsidR="0066531E" w:rsidRPr="00002D26" w:rsidRDefault="0066531E" w:rsidP="0066531E">
      <w:pPr>
        <w:jc w:val="both"/>
        <w:rPr>
          <w:rFonts w:ascii="Cambria" w:hAnsi="Cambria"/>
        </w:rPr>
      </w:pPr>
      <w:r w:rsidRPr="00002D26">
        <w:rPr>
          <w:rFonts w:ascii="Cambria" w:hAnsi="Cambria"/>
        </w:rPr>
        <w:t>In terms of time series analysis, it shows that Bangas has a higher and increasing market ratio over the period.</w:t>
      </w:r>
    </w:p>
    <w:p w:rsidR="0066531E" w:rsidRPr="00002D26" w:rsidRDefault="0066531E" w:rsidP="0066531E">
      <w:pPr>
        <w:pStyle w:val="ListParagraph"/>
        <w:ind w:left="0"/>
        <w:jc w:val="both"/>
        <w:rPr>
          <w:rFonts w:ascii="Cambria" w:hAnsi="Cambria"/>
          <w:sz w:val="24"/>
          <w:szCs w:val="24"/>
        </w:rPr>
      </w:pPr>
      <w:r w:rsidRPr="00002D26">
        <w:rPr>
          <w:rFonts w:ascii="Cambria" w:hAnsi="Cambria"/>
          <w:sz w:val="24"/>
          <w:szCs w:val="24"/>
        </w:rPr>
        <w:t>One of the most important ratios to evaluate the performances of the firm is price-earnings ratio. The ratio is higher than previous and also higher from Olympic. It exposes that the firm gain trust of investors.</w:t>
      </w:r>
    </w:p>
    <w:p w:rsidR="0066531E" w:rsidRPr="00002D26" w:rsidRDefault="0066531E" w:rsidP="0066531E">
      <w:pPr>
        <w:jc w:val="both"/>
        <w:rPr>
          <w:rFonts w:ascii="Cambria" w:hAnsi="Cambria"/>
        </w:rPr>
      </w:pPr>
      <w:r w:rsidRPr="00002D26">
        <w:rPr>
          <w:rFonts w:ascii="Cambria" w:hAnsi="Cambria"/>
        </w:rPr>
        <w:t>The market price of share also increased in response to higher price –earnings ratios. So, investors have incentive to hold or buy the share of Bangas.</w:t>
      </w:r>
    </w:p>
    <w:p w:rsidR="001100E4" w:rsidRDefault="001100E4" w:rsidP="0066531E">
      <w:pPr>
        <w:tabs>
          <w:tab w:val="left" w:pos="3684"/>
        </w:tabs>
        <w:jc w:val="both"/>
        <w:rPr>
          <w:rFonts w:ascii="Cambria" w:hAnsi="Cambria"/>
          <w:b/>
          <w:u w:val="single"/>
        </w:rPr>
      </w:pPr>
    </w:p>
    <w:p w:rsidR="001100E4" w:rsidRDefault="001100E4" w:rsidP="0066531E">
      <w:pPr>
        <w:tabs>
          <w:tab w:val="left" w:pos="3684"/>
        </w:tabs>
        <w:jc w:val="both"/>
        <w:rPr>
          <w:rFonts w:ascii="Cambria" w:hAnsi="Cambria"/>
          <w:b/>
          <w:u w:val="single"/>
        </w:rPr>
      </w:pPr>
    </w:p>
    <w:p w:rsidR="001100E4" w:rsidRDefault="001100E4" w:rsidP="0066531E">
      <w:pPr>
        <w:tabs>
          <w:tab w:val="left" w:pos="3684"/>
        </w:tabs>
        <w:jc w:val="both"/>
        <w:rPr>
          <w:rFonts w:ascii="Cambria" w:hAnsi="Cambria"/>
          <w:b/>
          <w:u w:val="single"/>
        </w:rPr>
      </w:pPr>
    </w:p>
    <w:p w:rsidR="001100E4" w:rsidRDefault="001100E4" w:rsidP="0066531E">
      <w:pPr>
        <w:tabs>
          <w:tab w:val="left" w:pos="3684"/>
        </w:tabs>
        <w:jc w:val="both"/>
        <w:rPr>
          <w:rFonts w:ascii="Cambria" w:hAnsi="Cambria"/>
          <w:b/>
          <w:u w:val="single"/>
        </w:rPr>
      </w:pPr>
    </w:p>
    <w:p w:rsidR="001100E4" w:rsidRDefault="001100E4" w:rsidP="0066531E">
      <w:pPr>
        <w:tabs>
          <w:tab w:val="left" w:pos="3684"/>
        </w:tabs>
        <w:jc w:val="both"/>
        <w:rPr>
          <w:rFonts w:ascii="Cambria" w:hAnsi="Cambria"/>
          <w:b/>
          <w:u w:val="single"/>
        </w:rPr>
      </w:pPr>
    </w:p>
    <w:p w:rsidR="001100E4" w:rsidRDefault="001100E4" w:rsidP="0066531E">
      <w:pPr>
        <w:tabs>
          <w:tab w:val="left" w:pos="3684"/>
        </w:tabs>
        <w:jc w:val="both"/>
        <w:rPr>
          <w:rFonts w:ascii="Cambria" w:hAnsi="Cambria"/>
          <w:b/>
          <w:u w:val="single"/>
        </w:rPr>
      </w:pPr>
    </w:p>
    <w:p w:rsidR="001100E4" w:rsidRDefault="001100E4" w:rsidP="0066531E">
      <w:pPr>
        <w:tabs>
          <w:tab w:val="left" w:pos="3684"/>
        </w:tabs>
        <w:jc w:val="both"/>
        <w:rPr>
          <w:rFonts w:ascii="Cambria" w:hAnsi="Cambria"/>
          <w:b/>
          <w:u w:val="single"/>
        </w:rPr>
      </w:pPr>
    </w:p>
    <w:p w:rsidR="001100E4" w:rsidRDefault="001100E4" w:rsidP="0066531E">
      <w:pPr>
        <w:tabs>
          <w:tab w:val="left" w:pos="3684"/>
        </w:tabs>
        <w:jc w:val="both"/>
        <w:rPr>
          <w:rFonts w:ascii="Cambria" w:hAnsi="Cambria"/>
          <w:b/>
          <w:u w:val="single"/>
        </w:rPr>
      </w:pPr>
    </w:p>
    <w:p w:rsidR="0066531E" w:rsidRPr="001100E4" w:rsidRDefault="0066531E" w:rsidP="0066531E">
      <w:pPr>
        <w:tabs>
          <w:tab w:val="left" w:pos="3684"/>
        </w:tabs>
        <w:jc w:val="both"/>
        <w:rPr>
          <w:rFonts w:ascii="Cambria" w:hAnsi="Cambria"/>
          <w:b/>
          <w:sz w:val="24"/>
          <w:szCs w:val="24"/>
          <w:u w:val="single"/>
        </w:rPr>
      </w:pPr>
      <w:r w:rsidRPr="001100E4">
        <w:rPr>
          <w:rFonts w:ascii="Cambria" w:hAnsi="Cambria"/>
          <w:b/>
          <w:sz w:val="24"/>
          <w:szCs w:val="24"/>
          <w:u w:val="single"/>
        </w:rPr>
        <w:lastRenderedPageBreak/>
        <w:t>Ratios At a glance:</w:t>
      </w:r>
    </w:p>
    <w:p w:rsidR="0066531E" w:rsidRPr="001100E4" w:rsidRDefault="0066531E" w:rsidP="0066531E">
      <w:pPr>
        <w:tabs>
          <w:tab w:val="left" w:pos="3684"/>
        </w:tabs>
        <w:jc w:val="both"/>
        <w:rPr>
          <w:rFonts w:ascii="Cambria" w:hAnsi="Cambria"/>
          <w:b/>
          <w:u w:val="single"/>
        </w:rPr>
      </w:pPr>
      <w:r w:rsidRPr="00527422">
        <w:rPr>
          <w:rFonts w:ascii="Cambria" w:hAnsi="Cambria"/>
          <w:b/>
          <w:u w:val="single"/>
        </w:rPr>
        <w:t>Ratios At a glance:</w:t>
      </w:r>
    </w:p>
    <w:tbl>
      <w:tblPr>
        <w:tblW w:w="9137" w:type="dxa"/>
        <w:tblInd w:w="108" w:type="dxa"/>
        <w:tblLayout w:type="fixed"/>
        <w:tblLook w:val="04A0"/>
      </w:tblPr>
      <w:tblGrid>
        <w:gridCol w:w="3836"/>
        <w:gridCol w:w="1060"/>
        <w:gridCol w:w="1060"/>
        <w:gridCol w:w="1060"/>
        <w:gridCol w:w="1060"/>
        <w:gridCol w:w="1061"/>
      </w:tblGrid>
      <w:tr w:rsidR="0066531E" w:rsidRPr="00127FCD" w:rsidTr="001245FC">
        <w:trPr>
          <w:trHeight w:val="255"/>
        </w:trPr>
        <w:tc>
          <w:tcPr>
            <w:tcW w:w="3836" w:type="dxa"/>
            <w:tcBorders>
              <w:top w:val="nil"/>
              <w:left w:val="nil"/>
              <w:bottom w:val="nil"/>
              <w:right w:val="nil"/>
            </w:tcBorders>
            <w:shd w:val="clear" w:color="000000" w:fill="31849B"/>
            <w:noWrap/>
            <w:vAlign w:val="bottom"/>
            <w:hideMark/>
          </w:tcPr>
          <w:p w:rsidR="0066531E" w:rsidRPr="00127FCD" w:rsidRDefault="0066531E" w:rsidP="001245FC">
            <w:pPr>
              <w:rPr>
                <w:rFonts w:ascii="Cambria" w:hAnsi="Cambria" w:cs="Arial"/>
                <w:b/>
                <w:bCs/>
                <w:sz w:val="20"/>
                <w:szCs w:val="20"/>
              </w:rPr>
            </w:pPr>
            <w:r w:rsidRPr="00127FCD">
              <w:rPr>
                <w:rFonts w:ascii="Cambria" w:hAnsi="Cambria" w:cs="Arial"/>
                <w:b/>
                <w:bCs/>
                <w:sz w:val="20"/>
                <w:szCs w:val="20"/>
              </w:rPr>
              <w:t>Initials</w:t>
            </w:r>
          </w:p>
        </w:tc>
        <w:tc>
          <w:tcPr>
            <w:tcW w:w="1060" w:type="dxa"/>
            <w:tcBorders>
              <w:top w:val="nil"/>
              <w:left w:val="nil"/>
              <w:bottom w:val="nil"/>
              <w:right w:val="nil"/>
            </w:tcBorders>
            <w:shd w:val="clear" w:color="000000" w:fill="31849B"/>
            <w:noWrap/>
            <w:vAlign w:val="bottom"/>
            <w:hideMark/>
          </w:tcPr>
          <w:p w:rsidR="0066531E" w:rsidRPr="00127FCD" w:rsidRDefault="0066531E" w:rsidP="001245FC">
            <w:pPr>
              <w:jc w:val="right"/>
              <w:rPr>
                <w:rFonts w:ascii="Cambria" w:hAnsi="Cambria" w:cs="Arial"/>
                <w:b/>
                <w:bCs/>
                <w:sz w:val="20"/>
                <w:szCs w:val="20"/>
              </w:rPr>
            </w:pPr>
            <w:r w:rsidRPr="00127FCD">
              <w:rPr>
                <w:rFonts w:ascii="Cambria" w:hAnsi="Cambria" w:cs="Arial"/>
                <w:b/>
                <w:bCs/>
                <w:sz w:val="20"/>
                <w:szCs w:val="20"/>
              </w:rPr>
              <w:t>2,009</w:t>
            </w:r>
          </w:p>
        </w:tc>
        <w:tc>
          <w:tcPr>
            <w:tcW w:w="1060" w:type="dxa"/>
            <w:tcBorders>
              <w:top w:val="nil"/>
              <w:left w:val="nil"/>
              <w:bottom w:val="nil"/>
              <w:right w:val="nil"/>
            </w:tcBorders>
            <w:shd w:val="clear" w:color="000000" w:fill="31849B"/>
            <w:noWrap/>
            <w:vAlign w:val="bottom"/>
            <w:hideMark/>
          </w:tcPr>
          <w:p w:rsidR="0066531E" w:rsidRPr="00127FCD" w:rsidRDefault="0066531E" w:rsidP="001245FC">
            <w:pPr>
              <w:jc w:val="right"/>
              <w:rPr>
                <w:rFonts w:ascii="Cambria" w:hAnsi="Cambria" w:cs="Arial"/>
                <w:b/>
                <w:bCs/>
                <w:sz w:val="20"/>
                <w:szCs w:val="20"/>
              </w:rPr>
            </w:pPr>
            <w:r w:rsidRPr="00127FCD">
              <w:rPr>
                <w:rFonts w:ascii="Cambria" w:hAnsi="Cambria" w:cs="Arial"/>
                <w:b/>
                <w:bCs/>
                <w:sz w:val="20"/>
                <w:szCs w:val="20"/>
              </w:rPr>
              <w:t>2,008</w:t>
            </w:r>
          </w:p>
        </w:tc>
        <w:tc>
          <w:tcPr>
            <w:tcW w:w="1060" w:type="dxa"/>
            <w:tcBorders>
              <w:top w:val="nil"/>
              <w:left w:val="nil"/>
              <w:bottom w:val="nil"/>
              <w:right w:val="nil"/>
            </w:tcBorders>
            <w:shd w:val="clear" w:color="000000" w:fill="31849B"/>
            <w:noWrap/>
            <w:vAlign w:val="bottom"/>
            <w:hideMark/>
          </w:tcPr>
          <w:p w:rsidR="0066531E" w:rsidRPr="00127FCD" w:rsidRDefault="0066531E" w:rsidP="001245FC">
            <w:pPr>
              <w:jc w:val="right"/>
              <w:rPr>
                <w:rFonts w:ascii="Cambria" w:hAnsi="Cambria" w:cs="Arial"/>
                <w:b/>
                <w:bCs/>
                <w:sz w:val="20"/>
                <w:szCs w:val="20"/>
              </w:rPr>
            </w:pPr>
            <w:r w:rsidRPr="00127FCD">
              <w:rPr>
                <w:rFonts w:ascii="Cambria" w:hAnsi="Cambria" w:cs="Arial"/>
                <w:b/>
                <w:bCs/>
                <w:sz w:val="20"/>
                <w:szCs w:val="20"/>
              </w:rPr>
              <w:t>2,007</w:t>
            </w:r>
          </w:p>
        </w:tc>
        <w:tc>
          <w:tcPr>
            <w:tcW w:w="1060" w:type="dxa"/>
            <w:tcBorders>
              <w:top w:val="nil"/>
              <w:left w:val="nil"/>
              <w:bottom w:val="nil"/>
              <w:right w:val="nil"/>
            </w:tcBorders>
            <w:shd w:val="clear" w:color="000000" w:fill="31849B"/>
            <w:noWrap/>
            <w:vAlign w:val="bottom"/>
            <w:hideMark/>
          </w:tcPr>
          <w:p w:rsidR="0066531E" w:rsidRPr="00127FCD" w:rsidRDefault="0066531E" w:rsidP="001245FC">
            <w:pPr>
              <w:jc w:val="right"/>
              <w:rPr>
                <w:rFonts w:ascii="Cambria" w:hAnsi="Cambria" w:cs="Arial"/>
                <w:b/>
                <w:bCs/>
                <w:sz w:val="20"/>
                <w:szCs w:val="20"/>
              </w:rPr>
            </w:pPr>
            <w:r w:rsidRPr="00127FCD">
              <w:rPr>
                <w:rFonts w:ascii="Cambria" w:hAnsi="Cambria" w:cs="Arial"/>
                <w:b/>
                <w:bCs/>
                <w:sz w:val="20"/>
                <w:szCs w:val="20"/>
              </w:rPr>
              <w:t>2,006</w:t>
            </w:r>
          </w:p>
        </w:tc>
        <w:tc>
          <w:tcPr>
            <w:tcW w:w="1061" w:type="dxa"/>
            <w:tcBorders>
              <w:top w:val="nil"/>
              <w:left w:val="nil"/>
              <w:bottom w:val="nil"/>
              <w:right w:val="nil"/>
            </w:tcBorders>
            <w:shd w:val="clear" w:color="000000" w:fill="31849B"/>
            <w:noWrap/>
            <w:vAlign w:val="bottom"/>
            <w:hideMark/>
          </w:tcPr>
          <w:p w:rsidR="0066531E" w:rsidRPr="00127FCD" w:rsidRDefault="0066531E" w:rsidP="001245FC">
            <w:pPr>
              <w:jc w:val="right"/>
              <w:rPr>
                <w:rFonts w:ascii="Cambria" w:hAnsi="Cambria" w:cs="Arial"/>
                <w:b/>
                <w:bCs/>
                <w:sz w:val="20"/>
                <w:szCs w:val="20"/>
              </w:rPr>
            </w:pPr>
            <w:r w:rsidRPr="00127FCD">
              <w:rPr>
                <w:rFonts w:ascii="Cambria" w:hAnsi="Cambria" w:cs="Arial"/>
                <w:b/>
                <w:bCs/>
                <w:sz w:val="20"/>
                <w:szCs w:val="20"/>
              </w:rPr>
              <w:t>2,005</w:t>
            </w:r>
          </w:p>
        </w:tc>
      </w:tr>
      <w:tr w:rsidR="0066531E" w:rsidRPr="00127FCD" w:rsidTr="001245FC">
        <w:trPr>
          <w:trHeight w:val="255"/>
        </w:trPr>
        <w:tc>
          <w:tcPr>
            <w:tcW w:w="9137" w:type="dxa"/>
            <w:gridSpan w:val="6"/>
            <w:tcBorders>
              <w:top w:val="nil"/>
              <w:left w:val="nil"/>
              <w:bottom w:val="nil"/>
              <w:right w:val="nil"/>
            </w:tcBorders>
            <w:shd w:val="clear" w:color="000000" w:fill="31849B"/>
            <w:noWrap/>
            <w:vAlign w:val="bottom"/>
            <w:hideMark/>
          </w:tcPr>
          <w:p w:rsidR="0066531E" w:rsidRPr="00127FCD" w:rsidRDefault="0066531E" w:rsidP="001245FC">
            <w:pPr>
              <w:rPr>
                <w:rFonts w:ascii="Cambria" w:hAnsi="Cambria" w:cs="Arial"/>
                <w:b/>
                <w:bCs/>
                <w:sz w:val="20"/>
                <w:szCs w:val="20"/>
              </w:rPr>
            </w:pPr>
            <w:r w:rsidRPr="00127FCD">
              <w:rPr>
                <w:rFonts w:ascii="Cambria" w:hAnsi="Cambria" w:cs="Arial"/>
                <w:b/>
                <w:bCs/>
                <w:sz w:val="20"/>
                <w:szCs w:val="20"/>
              </w:rPr>
              <w:t>Liquidity Or Short Term Solvency</w:t>
            </w:r>
          </w:p>
        </w:tc>
      </w:tr>
      <w:tr w:rsidR="0066531E" w:rsidRPr="00127FCD" w:rsidTr="001245FC">
        <w:trPr>
          <w:trHeight w:val="255"/>
        </w:trPr>
        <w:tc>
          <w:tcPr>
            <w:tcW w:w="3836"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r w:rsidRPr="00127FCD">
              <w:rPr>
                <w:rFonts w:ascii="Cambria" w:hAnsi="Cambria" w:cs="Arial"/>
                <w:sz w:val="20"/>
                <w:szCs w:val="20"/>
              </w:rPr>
              <w:t>Current Ratio</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1.0414</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1.0581</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1.0682</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1.0311</w:t>
            </w:r>
          </w:p>
        </w:tc>
        <w:tc>
          <w:tcPr>
            <w:tcW w:w="1061"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1.1511</w:t>
            </w:r>
          </w:p>
        </w:tc>
      </w:tr>
      <w:tr w:rsidR="0066531E" w:rsidRPr="00127FCD" w:rsidTr="001245FC">
        <w:trPr>
          <w:trHeight w:val="255"/>
        </w:trPr>
        <w:tc>
          <w:tcPr>
            <w:tcW w:w="3836"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r w:rsidRPr="00127FCD">
              <w:rPr>
                <w:rFonts w:ascii="Cambria" w:hAnsi="Cambria" w:cs="Arial"/>
                <w:sz w:val="20"/>
                <w:szCs w:val="20"/>
              </w:rPr>
              <w:t>Quick Ratio</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0.3263</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0.2969</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0.2862</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0.2913</w:t>
            </w:r>
          </w:p>
        </w:tc>
        <w:tc>
          <w:tcPr>
            <w:tcW w:w="1061"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0.4557</w:t>
            </w:r>
          </w:p>
        </w:tc>
      </w:tr>
      <w:tr w:rsidR="0066531E" w:rsidRPr="00127FCD" w:rsidTr="001245FC">
        <w:trPr>
          <w:trHeight w:val="255"/>
        </w:trPr>
        <w:tc>
          <w:tcPr>
            <w:tcW w:w="3836"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r w:rsidRPr="00127FCD">
              <w:rPr>
                <w:rFonts w:ascii="Cambria" w:hAnsi="Cambria" w:cs="Arial"/>
                <w:sz w:val="20"/>
                <w:szCs w:val="20"/>
              </w:rPr>
              <w:t>Cash Ratio</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0.0129</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0.0347</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0.0803</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0.0863</w:t>
            </w:r>
          </w:p>
        </w:tc>
        <w:tc>
          <w:tcPr>
            <w:tcW w:w="1061"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0.0097</w:t>
            </w:r>
          </w:p>
        </w:tc>
      </w:tr>
      <w:tr w:rsidR="0066531E" w:rsidRPr="00127FCD" w:rsidTr="001245FC">
        <w:trPr>
          <w:trHeight w:val="255"/>
        </w:trPr>
        <w:tc>
          <w:tcPr>
            <w:tcW w:w="3836"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0"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0"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0"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0"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1"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r>
      <w:tr w:rsidR="0066531E" w:rsidRPr="00127FCD" w:rsidTr="001245FC">
        <w:trPr>
          <w:trHeight w:val="255"/>
        </w:trPr>
        <w:tc>
          <w:tcPr>
            <w:tcW w:w="9137" w:type="dxa"/>
            <w:gridSpan w:val="6"/>
            <w:tcBorders>
              <w:top w:val="nil"/>
              <w:left w:val="nil"/>
              <w:bottom w:val="nil"/>
              <w:right w:val="nil"/>
            </w:tcBorders>
            <w:shd w:val="clear" w:color="000000" w:fill="31849B"/>
            <w:noWrap/>
            <w:vAlign w:val="bottom"/>
            <w:hideMark/>
          </w:tcPr>
          <w:p w:rsidR="0066531E" w:rsidRPr="00127FCD" w:rsidRDefault="0066531E" w:rsidP="001245FC">
            <w:pPr>
              <w:rPr>
                <w:rFonts w:ascii="Cambria" w:hAnsi="Cambria" w:cs="Arial"/>
                <w:b/>
                <w:bCs/>
                <w:sz w:val="20"/>
                <w:szCs w:val="20"/>
              </w:rPr>
            </w:pPr>
            <w:r w:rsidRPr="00127FCD">
              <w:rPr>
                <w:rFonts w:ascii="Cambria" w:hAnsi="Cambria" w:cs="Arial"/>
                <w:b/>
                <w:bCs/>
                <w:sz w:val="20"/>
                <w:szCs w:val="20"/>
              </w:rPr>
              <w:t>Long Term Solvency Or Debt Management Ratios</w:t>
            </w:r>
          </w:p>
        </w:tc>
      </w:tr>
      <w:tr w:rsidR="0066531E" w:rsidRPr="00127FCD" w:rsidTr="001245FC">
        <w:trPr>
          <w:trHeight w:val="255"/>
        </w:trPr>
        <w:tc>
          <w:tcPr>
            <w:tcW w:w="3836"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r w:rsidRPr="00127FCD">
              <w:rPr>
                <w:rFonts w:ascii="Cambria" w:hAnsi="Cambria" w:cs="Arial"/>
                <w:sz w:val="20"/>
                <w:szCs w:val="20"/>
              </w:rPr>
              <w:t>Debt Ratio</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0.8223</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0.8129</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0.7896</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0.8159</w:t>
            </w:r>
          </w:p>
        </w:tc>
        <w:tc>
          <w:tcPr>
            <w:tcW w:w="1061"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0.8173</w:t>
            </w:r>
          </w:p>
        </w:tc>
      </w:tr>
      <w:tr w:rsidR="0066531E" w:rsidRPr="00127FCD" w:rsidTr="001245FC">
        <w:trPr>
          <w:trHeight w:val="255"/>
        </w:trPr>
        <w:tc>
          <w:tcPr>
            <w:tcW w:w="3836"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r w:rsidRPr="00127FCD">
              <w:rPr>
                <w:rFonts w:ascii="Cambria" w:hAnsi="Cambria" w:cs="Arial"/>
                <w:sz w:val="20"/>
                <w:szCs w:val="20"/>
              </w:rPr>
              <w:t>Time Interest Earned (TIE) Ratio</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2.2880</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2.7520</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4.2131</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3.7210</w:t>
            </w:r>
          </w:p>
        </w:tc>
        <w:tc>
          <w:tcPr>
            <w:tcW w:w="1061"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18.0986</w:t>
            </w:r>
          </w:p>
        </w:tc>
      </w:tr>
      <w:tr w:rsidR="0066531E" w:rsidRPr="00127FCD" w:rsidTr="001245FC">
        <w:trPr>
          <w:trHeight w:val="255"/>
        </w:trPr>
        <w:tc>
          <w:tcPr>
            <w:tcW w:w="3836"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0"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0"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0"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0"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1"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r>
      <w:tr w:rsidR="0066531E" w:rsidRPr="00127FCD" w:rsidTr="001245FC">
        <w:trPr>
          <w:trHeight w:val="255"/>
        </w:trPr>
        <w:tc>
          <w:tcPr>
            <w:tcW w:w="9137" w:type="dxa"/>
            <w:gridSpan w:val="6"/>
            <w:tcBorders>
              <w:top w:val="nil"/>
              <w:left w:val="nil"/>
              <w:bottom w:val="nil"/>
              <w:right w:val="nil"/>
            </w:tcBorders>
            <w:shd w:val="clear" w:color="000000" w:fill="31849B"/>
            <w:noWrap/>
            <w:vAlign w:val="bottom"/>
            <w:hideMark/>
          </w:tcPr>
          <w:p w:rsidR="0066531E" w:rsidRPr="00127FCD" w:rsidRDefault="0066531E" w:rsidP="001245FC">
            <w:pPr>
              <w:rPr>
                <w:rFonts w:ascii="Cambria" w:hAnsi="Cambria" w:cs="Arial"/>
                <w:b/>
                <w:bCs/>
                <w:sz w:val="20"/>
                <w:szCs w:val="20"/>
              </w:rPr>
            </w:pPr>
            <w:r w:rsidRPr="00127FCD">
              <w:rPr>
                <w:rFonts w:ascii="Cambria" w:hAnsi="Cambria" w:cs="Arial"/>
                <w:b/>
                <w:bCs/>
                <w:sz w:val="20"/>
                <w:szCs w:val="20"/>
              </w:rPr>
              <w:t>Asset Management Ratio</w:t>
            </w:r>
          </w:p>
        </w:tc>
      </w:tr>
      <w:tr w:rsidR="0066531E" w:rsidRPr="00127FCD" w:rsidTr="001245FC">
        <w:trPr>
          <w:trHeight w:val="255"/>
        </w:trPr>
        <w:tc>
          <w:tcPr>
            <w:tcW w:w="3836"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r w:rsidRPr="00127FCD">
              <w:rPr>
                <w:rFonts w:ascii="Cambria" w:hAnsi="Cambria" w:cs="Arial"/>
                <w:sz w:val="20"/>
                <w:szCs w:val="20"/>
              </w:rPr>
              <w:t>Inventory Turnover Ratio</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2.2956</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2.6190</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2.8593</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2.3676</w:t>
            </w:r>
          </w:p>
        </w:tc>
        <w:tc>
          <w:tcPr>
            <w:tcW w:w="1061"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2.5452</w:t>
            </w:r>
          </w:p>
        </w:tc>
      </w:tr>
      <w:tr w:rsidR="0066531E" w:rsidRPr="00127FCD" w:rsidTr="001245FC">
        <w:trPr>
          <w:trHeight w:val="255"/>
        </w:trPr>
        <w:tc>
          <w:tcPr>
            <w:tcW w:w="3836"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r w:rsidRPr="00127FCD">
              <w:rPr>
                <w:rFonts w:ascii="Cambria" w:hAnsi="Cambria" w:cs="Arial"/>
                <w:sz w:val="20"/>
                <w:szCs w:val="20"/>
              </w:rPr>
              <w:t>Days Sales Outstanding (DSO)</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43.3244</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25.0544</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6.9996</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9.1633</w:t>
            </w:r>
          </w:p>
        </w:tc>
        <w:tc>
          <w:tcPr>
            <w:tcW w:w="1061"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25.9234</w:t>
            </w:r>
          </w:p>
        </w:tc>
      </w:tr>
      <w:tr w:rsidR="0066531E" w:rsidRPr="00127FCD" w:rsidTr="001245FC">
        <w:trPr>
          <w:trHeight w:val="255"/>
        </w:trPr>
        <w:tc>
          <w:tcPr>
            <w:tcW w:w="3836"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r w:rsidRPr="00127FCD">
              <w:rPr>
                <w:rFonts w:ascii="Cambria" w:hAnsi="Cambria" w:cs="Arial"/>
                <w:sz w:val="20"/>
                <w:szCs w:val="20"/>
              </w:rPr>
              <w:t>Total Asset Turnover Ratio</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1.3487</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1.4876</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1.4650</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1.1916</w:t>
            </w:r>
          </w:p>
        </w:tc>
        <w:tc>
          <w:tcPr>
            <w:tcW w:w="1061"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1.1504</w:t>
            </w:r>
          </w:p>
        </w:tc>
      </w:tr>
      <w:tr w:rsidR="0066531E" w:rsidRPr="00127FCD" w:rsidTr="001245FC">
        <w:trPr>
          <w:trHeight w:val="255"/>
        </w:trPr>
        <w:tc>
          <w:tcPr>
            <w:tcW w:w="3836"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0"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0"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0"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0"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1"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r>
      <w:tr w:rsidR="0066531E" w:rsidRPr="00127FCD" w:rsidTr="001245FC">
        <w:trPr>
          <w:trHeight w:val="255"/>
        </w:trPr>
        <w:tc>
          <w:tcPr>
            <w:tcW w:w="9137" w:type="dxa"/>
            <w:gridSpan w:val="6"/>
            <w:tcBorders>
              <w:top w:val="nil"/>
              <w:left w:val="nil"/>
              <w:bottom w:val="nil"/>
              <w:right w:val="nil"/>
            </w:tcBorders>
            <w:shd w:val="clear" w:color="000000" w:fill="31849B"/>
            <w:noWrap/>
            <w:vAlign w:val="bottom"/>
            <w:hideMark/>
          </w:tcPr>
          <w:p w:rsidR="0066531E" w:rsidRPr="00127FCD" w:rsidRDefault="0066531E" w:rsidP="001245FC">
            <w:pPr>
              <w:rPr>
                <w:rFonts w:ascii="Cambria" w:hAnsi="Cambria" w:cs="Arial"/>
                <w:b/>
                <w:bCs/>
                <w:sz w:val="20"/>
                <w:szCs w:val="20"/>
              </w:rPr>
            </w:pPr>
            <w:r w:rsidRPr="00127FCD">
              <w:rPr>
                <w:rFonts w:ascii="Cambria" w:hAnsi="Cambria" w:cs="Arial"/>
                <w:b/>
                <w:bCs/>
                <w:sz w:val="20"/>
                <w:szCs w:val="20"/>
              </w:rPr>
              <w:t>Profitability Ratios</w:t>
            </w:r>
          </w:p>
        </w:tc>
      </w:tr>
      <w:tr w:rsidR="0066531E" w:rsidRPr="00127FCD" w:rsidTr="001245FC">
        <w:trPr>
          <w:trHeight w:val="255"/>
        </w:trPr>
        <w:tc>
          <w:tcPr>
            <w:tcW w:w="3836"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r w:rsidRPr="00127FCD">
              <w:rPr>
                <w:rFonts w:ascii="Cambria" w:hAnsi="Cambria" w:cs="Arial"/>
                <w:sz w:val="20"/>
                <w:szCs w:val="20"/>
              </w:rPr>
              <w:t>Profit Margin Ratio</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0.0136</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0.0174</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0.0201</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0.0158</w:t>
            </w:r>
          </w:p>
        </w:tc>
        <w:tc>
          <w:tcPr>
            <w:tcW w:w="1061"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0.0078</w:t>
            </w:r>
          </w:p>
        </w:tc>
      </w:tr>
      <w:tr w:rsidR="0066531E" w:rsidRPr="00127FCD" w:rsidTr="001245FC">
        <w:trPr>
          <w:trHeight w:val="255"/>
        </w:trPr>
        <w:tc>
          <w:tcPr>
            <w:tcW w:w="3836"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r w:rsidRPr="00127FCD">
              <w:rPr>
                <w:rFonts w:ascii="Cambria" w:hAnsi="Cambria" w:cs="Arial"/>
                <w:sz w:val="20"/>
                <w:szCs w:val="20"/>
              </w:rPr>
              <w:t>Return On Asset (ROA)</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0.0183</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0.0259</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0.0295</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0.0188</w:t>
            </w:r>
          </w:p>
        </w:tc>
        <w:tc>
          <w:tcPr>
            <w:tcW w:w="1061"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0.0090</w:t>
            </w:r>
          </w:p>
        </w:tc>
      </w:tr>
      <w:tr w:rsidR="0066531E" w:rsidRPr="00127FCD" w:rsidTr="001245FC">
        <w:trPr>
          <w:trHeight w:val="255"/>
        </w:trPr>
        <w:tc>
          <w:tcPr>
            <w:tcW w:w="3836"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r w:rsidRPr="00127FCD">
              <w:rPr>
                <w:rFonts w:ascii="Cambria" w:hAnsi="Cambria" w:cs="Arial"/>
                <w:sz w:val="20"/>
                <w:szCs w:val="20"/>
              </w:rPr>
              <w:t>Return On Equity (ROE)</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0.1033</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0.1383</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0.1022</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0.0491</w:t>
            </w:r>
          </w:p>
        </w:tc>
        <w:tc>
          <w:tcPr>
            <w:tcW w:w="1061"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0.0483</w:t>
            </w:r>
          </w:p>
        </w:tc>
      </w:tr>
      <w:tr w:rsidR="0066531E" w:rsidRPr="00127FCD" w:rsidTr="001245FC">
        <w:trPr>
          <w:trHeight w:val="255"/>
        </w:trPr>
        <w:tc>
          <w:tcPr>
            <w:tcW w:w="3836"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r w:rsidRPr="00127FCD">
              <w:rPr>
                <w:rFonts w:ascii="Cambria" w:hAnsi="Cambria" w:cs="Arial"/>
                <w:sz w:val="20"/>
                <w:szCs w:val="20"/>
              </w:rPr>
              <w:t>Earnings Per Share (EPS)</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17.0181</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22.5053</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21.7433</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14.9712</w:t>
            </w:r>
          </w:p>
        </w:tc>
        <w:tc>
          <w:tcPr>
            <w:tcW w:w="1061"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7.0722</w:t>
            </w:r>
          </w:p>
        </w:tc>
      </w:tr>
      <w:tr w:rsidR="0066531E" w:rsidRPr="00127FCD" w:rsidTr="001245FC">
        <w:trPr>
          <w:trHeight w:val="255"/>
        </w:trPr>
        <w:tc>
          <w:tcPr>
            <w:tcW w:w="3836"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r w:rsidRPr="00127FCD">
              <w:rPr>
                <w:rFonts w:ascii="Cambria" w:hAnsi="Cambria" w:cs="Arial"/>
                <w:sz w:val="20"/>
                <w:szCs w:val="20"/>
              </w:rPr>
              <w:t>financial leverage</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5.6285</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5.3455</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4.7522</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5.4321</w:t>
            </w:r>
          </w:p>
        </w:tc>
        <w:tc>
          <w:tcPr>
            <w:tcW w:w="1061"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5.4749</w:t>
            </w:r>
          </w:p>
        </w:tc>
      </w:tr>
      <w:tr w:rsidR="0066531E" w:rsidRPr="00127FCD" w:rsidTr="001245FC">
        <w:trPr>
          <w:trHeight w:val="255"/>
        </w:trPr>
        <w:tc>
          <w:tcPr>
            <w:tcW w:w="3836"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0"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0"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0"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0"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1"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r>
      <w:tr w:rsidR="0066531E" w:rsidRPr="00127FCD" w:rsidTr="001245FC">
        <w:trPr>
          <w:trHeight w:val="255"/>
        </w:trPr>
        <w:tc>
          <w:tcPr>
            <w:tcW w:w="9137" w:type="dxa"/>
            <w:gridSpan w:val="6"/>
            <w:tcBorders>
              <w:top w:val="nil"/>
              <w:left w:val="nil"/>
              <w:bottom w:val="nil"/>
              <w:right w:val="nil"/>
            </w:tcBorders>
            <w:shd w:val="clear" w:color="000000" w:fill="31849B"/>
            <w:noWrap/>
            <w:vAlign w:val="bottom"/>
            <w:hideMark/>
          </w:tcPr>
          <w:p w:rsidR="0066531E" w:rsidRPr="00127FCD" w:rsidRDefault="0066531E" w:rsidP="001245FC">
            <w:pPr>
              <w:rPr>
                <w:rFonts w:ascii="Cambria" w:hAnsi="Cambria" w:cs="Arial"/>
                <w:sz w:val="20"/>
                <w:szCs w:val="20"/>
              </w:rPr>
            </w:pPr>
            <w:r w:rsidRPr="00127FCD">
              <w:rPr>
                <w:rFonts w:ascii="Cambria" w:hAnsi="Cambria" w:cs="Arial"/>
                <w:sz w:val="20"/>
                <w:szCs w:val="20"/>
              </w:rPr>
              <w:t>Other Ratios</w:t>
            </w:r>
          </w:p>
        </w:tc>
      </w:tr>
      <w:tr w:rsidR="0066531E" w:rsidRPr="00127FCD" w:rsidTr="001245FC">
        <w:trPr>
          <w:trHeight w:val="255"/>
        </w:trPr>
        <w:tc>
          <w:tcPr>
            <w:tcW w:w="3836"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r w:rsidRPr="00127FCD">
              <w:rPr>
                <w:rFonts w:ascii="Cambria" w:hAnsi="Cambria" w:cs="Arial"/>
                <w:sz w:val="20"/>
                <w:szCs w:val="20"/>
              </w:rPr>
              <w:t>Dividend Payout Ratio</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15.0000</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15.0000</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13.0000</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12.5000</w:t>
            </w:r>
          </w:p>
        </w:tc>
        <w:tc>
          <w:tcPr>
            <w:tcW w:w="1061"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13.0000</w:t>
            </w:r>
          </w:p>
        </w:tc>
      </w:tr>
      <w:tr w:rsidR="0066531E" w:rsidRPr="00127FCD" w:rsidTr="001245FC">
        <w:trPr>
          <w:trHeight w:val="255"/>
        </w:trPr>
        <w:tc>
          <w:tcPr>
            <w:tcW w:w="3836"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r w:rsidRPr="00127FCD">
              <w:rPr>
                <w:rFonts w:ascii="Cambria" w:hAnsi="Cambria" w:cs="Arial"/>
                <w:sz w:val="20"/>
                <w:szCs w:val="20"/>
              </w:rPr>
              <w:t>fixed asset ratio</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4.0806</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4.0642</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3.2583</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2.7885</w:t>
            </w:r>
          </w:p>
        </w:tc>
        <w:tc>
          <w:tcPr>
            <w:tcW w:w="1061"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2.8785</w:t>
            </w:r>
          </w:p>
        </w:tc>
      </w:tr>
      <w:tr w:rsidR="0066531E" w:rsidRPr="00127FCD" w:rsidTr="001245FC">
        <w:trPr>
          <w:trHeight w:val="255"/>
        </w:trPr>
        <w:tc>
          <w:tcPr>
            <w:tcW w:w="3836"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0"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0"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0"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0"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c>
          <w:tcPr>
            <w:tcW w:w="1061"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p>
        </w:tc>
      </w:tr>
      <w:tr w:rsidR="0066531E" w:rsidRPr="00127FCD" w:rsidTr="001245FC">
        <w:trPr>
          <w:trHeight w:val="255"/>
        </w:trPr>
        <w:tc>
          <w:tcPr>
            <w:tcW w:w="9137" w:type="dxa"/>
            <w:gridSpan w:val="6"/>
            <w:tcBorders>
              <w:top w:val="nil"/>
              <w:left w:val="nil"/>
              <w:bottom w:val="nil"/>
              <w:right w:val="nil"/>
            </w:tcBorders>
            <w:shd w:val="clear" w:color="000000" w:fill="31849B"/>
            <w:noWrap/>
            <w:vAlign w:val="bottom"/>
            <w:hideMark/>
          </w:tcPr>
          <w:p w:rsidR="0066531E" w:rsidRPr="00127FCD" w:rsidRDefault="0066531E" w:rsidP="001245FC">
            <w:pPr>
              <w:rPr>
                <w:rFonts w:ascii="Cambria" w:hAnsi="Cambria" w:cs="Arial"/>
                <w:sz w:val="20"/>
                <w:szCs w:val="20"/>
              </w:rPr>
            </w:pPr>
            <w:r w:rsidRPr="00127FCD">
              <w:rPr>
                <w:rFonts w:ascii="Cambria" w:hAnsi="Cambria" w:cs="Arial"/>
                <w:sz w:val="20"/>
                <w:szCs w:val="20"/>
              </w:rPr>
              <w:t>market value ratio</w:t>
            </w:r>
          </w:p>
        </w:tc>
      </w:tr>
      <w:tr w:rsidR="0066531E" w:rsidRPr="00127FCD" w:rsidTr="001245FC">
        <w:trPr>
          <w:trHeight w:val="255"/>
        </w:trPr>
        <w:tc>
          <w:tcPr>
            <w:tcW w:w="3836"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r w:rsidRPr="00127FCD">
              <w:rPr>
                <w:rFonts w:ascii="Cambria" w:hAnsi="Cambria" w:cs="Arial"/>
                <w:sz w:val="20"/>
                <w:szCs w:val="20"/>
              </w:rPr>
              <w:t>Price/Ear</w:t>
            </w:r>
            <w:r>
              <w:rPr>
                <w:rFonts w:ascii="Cambria" w:hAnsi="Cambria" w:cs="Arial"/>
                <w:sz w:val="20"/>
                <w:szCs w:val="20"/>
              </w:rPr>
              <w:t>n</w:t>
            </w:r>
            <w:r w:rsidRPr="00127FCD">
              <w:rPr>
                <w:rFonts w:ascii="Cambria" w:hAnsi="Cambria" w:cs="Arial"/>
                <w:sz w:val="20"/>
                <w:szCs w:val="20"/>
              </w:rPr>
              <w:t>ing (P/E) Ratio</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146.8273</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17.8920</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10.4646</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14.5625</w:t>
            </w:r>
          </w:p>
        </w:tc>
        <w:tc>
          <w:tcPr>
            <w:tcW w:w="1061"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46.1103</w:t>
            </w:r>
          </w:p>
        </w:tc>
      </w:tr>
      <w:tr w:rsidR="0066531E" w:rsidRPr="00127FCD" w:rsidTr="001245FC">
        <w:trPr>
          <w:trHeight w:val="255"/>
        </w:trPr>
        <w:tc>
          <w:tcPr>
            <w:tcW w:w="3836" w:type="dxa"/>
            <w:tcBorders>
              <w:top w:val="nil"/>
              <w:left w:val="nil"/>
              <w:bottom w:val="nil"/>
              <w:right w:val="nil"/>
            </w:tcBorders>
            <w:shd w:val="clear" w:color="auto" w:fill="auto"/>
            <w:noWrap/>
            <w:vAlign w:val="bottom"/>
            <w:hideMark/>
          </w:tcPr>
          <w:p w:rsidR="0066531E" w:rsidRPr="00127FCD" w:rsidRDefault="0066531E" w:rsidP="001245FC">
            <w:pPr>
              <w:rPr>
                <w:rFonts w:ascii="Cambria" w:hAnsi="Cambria" w:cs="Arial"/>
                <w:sz w:val="20"/>
                <w:szCs w:val="20"/>
              </w:rPr>
            </w:pPr>
            <w:r w:rsidRPr="00127FCD">
              <w:rPr>
                <w:rFonts w:ascii="Cambria" w:hAnsi="Cambria" w:cs="Arial"/>
                <w:sz w:val="20"/>
                <w:szCs w:val="20"/>
              </w:rPr>
              <w:t>Market/Book (M/B) Ratio</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15.1638</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2.4742</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1.4651</w:t>
            </w:r>
          </w:p>
        </w:tc>
        <w:tc>
          <w:tcPr>
            <w:tcW w:w="1060"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1.4876</w:t>
            </w:r>
          </w:p>
        </w:tc>
        <w:tc>
          <w:tcPr>
            <w:tcW w:w="1061" w:type="dxa"/>
            <w:tcBorders>
              <w:top w:val="nil"/>
              <w:left w:val="nil"/>
              <w:bottom w:val="nil"/>
              <w:right w:val="nil"/>
            </w:tcBorders>
            <w:shd w:val="clear" w:color="auto" w:fill="auto"/>
            <w:noWrap/>
            <w:vAlign w:val="bottom"/>
            <w:hideMark/>
          </w:tcPr>
          <w:p w:rsidR="0066531E" w:rsidRPr="00127FCD" w:rsidRDefault="0066531E" w:rsidP="001245FC">
            <w:pPr>
              <w:jc w:val="right"/>
              <w:rPr>
                <w:rFonts w:ascii="Cambria" w:hAnsi="Cambria" w:cs="Arial"/>
                <w:sz w:val="20"/>
                <w:szCs w:val="20"/>
              </w:rPr>
            </w:pPr>
            <w:r w:rsidRPr="00127FCD">
              <w:rPr>
                <w:rFonts w:ascii="Cambria" w:hAnsi="Cambria" w:cs="Arial"/>
                <w:sz w:val="20"/>
                <w:szCs w:val="20"/>
              </w:rPr>
              <w:t>2.2629</w:t>
            </w:r>
          </w:p>
        </w:tc>
      </w:tr>
    </w:tbl>
    <w:p w:rsidR="0066531E" w:rsidRPr="00002D26" w:rsidRDefault="0066531E" w:rsidP="0066531E">
      <w:pPr>
        <w:tabs>
          <w:tab w:val="left" w:pos="3684"/>
        </w:tabs>
        <w:jc w:val="both"/>
        <w:rPr>
          <w:rFonts w:ascii="Cambria" w:hAnsi="Cambria"/>
        </w:rPr>
      </w:pPr>
    </w:p>
    <w:p w:rsidR="007712A2" w:rsidRPr="007712A2" w:rsidRDefault="007712A2" w:rsidP="007712A2">
      <w:pPr>
        <w:spacing w:line="360" w:lineRule="auto"/>
        <w:jc w:val="both"/>
        <w:rPr>
          <w:rFonts w:asciiTheme="majorHAnsi" w:hAnsiTheme="majorHAnsi"/>
          <w:b/>
          <w:sz w:val="28"/>
          <w:szCs w:val="28"/>
        </w:rPr>
      </w:pPr>
      <w:r w:rsidRPr="007712A2">
        <w:rPr>
          <w:rFonts w:asciiTheme="majorHAnsi" w:hAnsiTheme="majorHAnsi"/>
          <w:b/>
          <w:sz w:val="28"/>
          <w:szCs w:val="28"/>
        </w:rPr>
        <w:lastRenderedPageBreak/>
        <w:t>Prediction of Distress and Turnaround</w:t>
      </w:r>
    </w:p>
    <w:p w:rsidR="007712A2" w:rsidRPr="007D150F" w:rsidRDefault="007712A2" w:rsidP="007712A2">
      <w:pPr>
        <w:spacing w:line="360" w:lineRule="auto"/>
        <w:jc w:val="both"/>
        <w:rPr>
          <w:rFonts w:asciiTheme="majorHAnsi" w:hAnsiTheme="majorHAnsi"/>
          <w:sz w:val="24"/>
          <w:szCs w:val="24"/>
        </w:rPr>
      </w:pPr>
      <w:r w:rsidRPr="007D150F">
        <w:rPr>
          <w:rFonts w:asciiTheme="majorHAnsi" w:hAnsiTheme="majorHAnsi"/>
          <w:sz w:val="24"/>
          <w:szCs w:val="24"/>
        </w:rPr>
        <w:t>Several models to predict distress have been developed over the years. One of the more popular and a robust model is the Altman’s Z-score model.</w:t>
      </w:r>
    </w:p>
    <w:p w:rsidR="007712A2" w:rsidRDefault="007712A2" w:rsidP="007712A2">
      <w:pPr>
        <w:tabs>
          <w:tab w:val="left" w:pos="1381"/>
        </w:tabs>
        <w:spacing w:line="360" w:lineRule="auto"/>
        <w:jc w:val="both"/>
        <w:rPr>
          <w:rFonts w:asciiTheme="majorHAnsi" w:hAnsiTheme="majorHAnsi"/>
          <w:sz w:val="24"/>
          <w:szCs w:val="24"/>
        </w:rPr>
      </w:pPr>
      <w:r>
        <w:rPr>
          <w:rFonts w:asciiTheme="majorHAnsi" w:hAnsiTheme="majorHAnsi"/>
          <w:sz w:val="24"/>
          <w:szCs w:val="24"/>
        </w:rPr>
        <w:t>Z = 1.2*(X</w:t>
      </w:r>
      <w:r w:rsidRPr="002E72E0">
        <w:rPr>
          <w:rFonts w:asciiTheme="majorHAnsi" w:hAnsiTheme="majorHAnsi"/>
          <w:sz w:val="24"/>
          <w:szCs w:val="24"/>
          <w:vertAlign w:val="subscript"/>
        </w:rPr>
        <w:t>1</w:t>
      </w:r>
      <w:r>
        <w:rPr>
          <w:rFonts w:asciiTheme="majorHAnsi" w:hAnsiTheme="majorHAnsi"/>
          <w:sz w:val="24"/>
          <w:szCs w:val="24"/>
        </w:rPr>
        <w:t>) +1.4*(X</w:t>
      </w:r>
      <w:r w:rsidRPr="002E72E0">
        <w:rPr>
          <w:rFonts w:asciiTheme="majorHAnsi" w:hAnsiTheme="majorHAnsi"/>
          <w:sz w:val="24"/>
          <w:szCs w:val="24"/>
          <w:vertAlign w:val="subscript"/>
        </w:rPr>
        <w:t>2</w:t>
      </w:r>
      <w:r>
        <w:rPr>
          <w:rFonts w:asciiTheme="majorHAnsi" w:hAnsiTheme="majorHAnsi"/>
          <w:sz w:val="24"/>
          <w:szCs w:val="24"/>
        </w:rPr>
        <w:t>) +3.3*(X</w:t>
      </w:r>
      <w:r w:rsidRPr="002E72E0">
        <w:rPr>
          <w:rFonts w:asciiTheme="majorHAnsi" w:hAnsiTheme="majorHAnsi"/>
          <w:sz w:val="24"/>
          <w:szCs w:val="24"/>
          <w:vertAlign w:val="subscript"/>
        </w:rPr>
        <w:t>3</w:t>
      </w:r>
      <w:r>
        <w:rPr>
          <w:rFonts w:asciiTheme="majorHAnsi" w:hAnsiTheme="majorHAnsi"/>
          <w:sz w:val="24"/>
          <w:szCs w:val="24"/>
        </w:rPr>
        <w:t>) +0.6*(X</w:t>
      </w:r>
      <w:r w:rsidRPr="002E72E0">
        <w:rPr>
          <w:rFonts w:asciiTheme="majorHAnsi" w:hAnsiTheme="majorHAnsi"/>
          <w:sz w:val="24"/>
          <w:szCs w:val="24"/>
          <w:vertAlign w:val="subscript"/>
        </w:rPr>
        <w:t>4</w:t>
      </w:r>
      <w:r>
        <w:rPr>
          <w:rFonts w:asciiTheme="majorHAnsi" w:hAnsiTheme="majorHAnsi"/>
          <w:sz w:val="24"/>
          <w:szCs w:val="24"/>
        </w:rPr>
        <w:t>) +1.0*(X</w:t>
      </w:r>
      <w:r w:rsidRPr="002E72E0">
        <w:rPr>
          <w:rFonts w:asciiTheme="majorHAnsi" w:hAnsiTheme="majorHAnsi"/>
          <w:sz w:val="24"/>
          <w:szCs w:val="24"/>
          <w:vertAlign w:val="subscript"/>
        </w:rPr>
        <w:t>5</w:t>
      </w:r>
      <w:r>
        <w:rPr>
          <w:rFonts w:asciiTheme="majorHAnsi" w:hAnsiTheme="majorHAnsi"/>
          <w:sz w:val="24"/>
          <w:szCs w:val="24"/>
        </w:rPr>
        <w:t>)</w:t>
      </w:r>
    </w:p>
    <w:p w:rsidR="007712A2" w:rsidRDefault="007712A2" w:rsidP="007712A2">
      <w:pPr>
        <w:tabs>
          <w:tab w:val="left" w:pos="1381"/>
        </w:tabs>
        <w:spacing w:line="360" w:lineRule="auto"/>
        <w:jc w:val="both"/>
        <w:rPr>
          <w:rFonts w:asciiTheme="majorHAnsi" w:hAnsiTheme="majorHAnsi"/>
          <w:sz w:val="24"/>
          <w:szCs w:val="24"/>
        </w:rPr>
      </w:pPr>
      <w:r>
        <w:rPr>
          <w:rFonts w:asciiTheme="majorHAnsi" w:hAnsiTheme="majorHAnsi"/>
          <w:sz w:val="24"/>
          <w:szCs w:val="24"/>
        </w:rPr>
        <w:t>Where,</w:t>
      </w:r>
    </w:p>
    <w:p w:rsidR="007712A2" w:rsidRPr="00BB6757" w:rsidRDefault="007712A2" w:rsidP="007712A2">
      <w:pPr>
        <w:tabs>
          <w:tab w:val="left" w:pos="1381"/>
        </w:tabs>
        <w:spacing w:line="360" w:lineRule="auto"/>
        <w:jc w:val="both"/>
        <w:rPr>
          <w:rFonts w:asciiTheme="majorHAnsi" w:hAnsiTheme="majorHAnsi"/>
          <w:sz w:val="24"/>
          <w:szCs w:val="24"/>
        </w:rPr>
      </w:pPr>
      <w:r w:rsidRPr="00BB6757">
        <w:rPr>
          <w:rFonts w:asciiTheme="majorHAnsi" w:hAnsiTheme="majorHAnsi"/>
          <w:sz w:val="24"/>
          <w:szCs w:val="24"/>
        </w:rPr>
        <w:t>X</w:t>
      </w:r>
      <w:r w:rsidRPr="00BB6757">
        <w:rPr>
          <w:rFonts w:asciiTheme="majorHAnsi" w:hAnsiTheme="majorHAnsi"/>
          <w:sz w:val="24"/>
          <w:szCs w:val="24"/>
          <w:vertAlign w:val="subscript"/>
        </w:rPr>
        <w:t>1</w:t>
      </w:r>
      <w:r w:rsidRPr="00BB6757">
        <w:rPr>
          <w:rFonts w:asciiTheme="majorHAnsi" w:hAnsiTheme="majorHAnsi"/>
          <w:sz w:val="24"/>
          <w:szCs w:val="24"/>
        </w:rPr>
        <w:t>=Net working capital/ Total Assets (Measure of Liquidity)</w:t>
      </w:r>
    </w:p>
    <w:p w:rsidR="007712A2" w:rsidRPr="00BB6757" w:rsidRDefault="007712A2" w:rsidP="007712A2">
      <w:pPr>
        <w:tabs>
          <w:tab w:val="left" w:pos="1381"/>
        </w:tabs>
        <w:spacing w:line="360" w:lineRule="auto"/>
        <w:jc w:val="both"/>
        <w:rPr>
          <w:rFonts w:asciiTheme="majorHAnsi" w:hAnsiTheme="majorHAnsi"/>
          <w:sz w:val="24"/>
          <w:szCs w:val="24"/>
        </w:rPr>
      </w:pPr>
      <w:r w:rsidRPr="00BB6757">
        <w:rPr>
          <w:rFonts w:asciiTheme="majorHAnsi" w:hAnsiTheme="majorHAnsi"/>
          <w:sz w:val="24"/>
          <w:szCs w:val="24"/>
        </w:rPr>
        <w:t>X</w:t>
      </w:r>
      <w:r w:rsidRPr="00BB6757">
        <w:rPr>
          <w:rFonts w:asciiTheme="majorHAnsi" w:hAnsiTheme="majorHAnsi"/>
          <w:sz w:val="24"/>
          <w:szCs w:val="24"/>
          <w:vertAlign w:val="subscript"/>
        </w:rPr>
        <w:t>2</w:t>
      </w:r>
      <w:r w:rsidRPr="00BB6757">
        <w:rPr>
          <w:rFonts w:asciiTheme="majorHAnsi" w:hAnsiTheme="majorHAnsi"/>
          <w:sz w:val="24"/>
          <w:szCs w:val="24"/>
        </w:rPr>
        <w:t>=Retained Earnings/ Total Assets (measure of cumulative Proftablity)</w:t>
      </w:r>
    </w:p>
    <w:p w:rsidR="007712A2" w:rsidRPr="002E72E0" w:rsidRDefault="007712A2" w:rsidP="007712A2">
      <w:pPr>
        <w:tabs>
          <w:tab w:val="left" w:pos="1381"/>
        </w:tabs>
        <w:spacing w:line="360" w:lineRule="auto"/>
        <w:jc w:val="both"/>
        <w:rPr>
          <w:rFonts w:asciiTheme="majorHAnsi" w:hAnsiTheme="majorHAnsi"/>
          <w:sz w:val="24"/>
          <w:szCs w:val="24"/>
        </w:rPr>
      </w:pPr>
      <w:r>
        <w:rPr>
          <w:rFonts w:asciiTheme="majorHAnsi" w:hAnsiTheme="majorHAnsi"/>
          <w:sz w:val="24"/>
          <w:szCs w:val="24"/>
        </w:rPr>
        <w:t>X</w:t>
      </w:r>
      <w:r w:rsidRPr="002E72E0">
        <w:rPr>
          <w:rFonts w:asciiTheme="majorHAnsi" w:hAnsiTheme="majorHAnsi"/>
          <w:sz w:val="24"/>
          <w:szCs w:val="24"/>
          <w:vertAlign w:val="subscript"/>
        </w:rPr>
        <w:t>3</w:t>
      </w:r>
      <w:r w:rsidRPr="002E72E0">
        <w:rPr>
          <w:rFonts w:asciiTheme="majorHAnsi" w:hAnsiTheme="majorHAnsi"/>
          <w:sz w:val="24"/>
          <w:szCs w:val="24"/>
        </w:rPr>
        <w:t>=</w:t>
      </w:r>
      <w:r>
        <w:rPr>
          <w:rFonts w:asciiTheme="majorHAnsi" w:hAnsiTheme="majorHAnsi"/>
          <w:sz w:val="24"/>
          <w:szCs w:val="24"/>
        </w:rPr>
        <w:t>EBIT/ Total Assets (Measure of return on Asset)</w:t>
      </w:r>
    </w:p>
    <w:p w:rsidR="007712A2" w:rsidRPr="002E72E0" w:rsidRDefault="007712A2" w:rsidP="007712A2">
      <w:pPr>
        <w:tabs>
          <w:tab w:val="left" w:pos="1381"/>
        </w:tabs>
        <w:spacing w:line="360" w:lineRule="auto"/>
        <w:jc w:val="both"/>
        <w:rPr>
          <w:rFonts w:asciiTheme="majorHAnsi" w:hAnsiTheme="majorHAnsi"/>
          <w:sz w:val="24"/>
          <w:szCs w:val="24"/>
        </w:rPr>
      </w:pPr>
      <w:r>
        <w:rPr>
          <w:rFonts w:asciiTheme="majorHAnsi" w:hAnsiTheme="majorHAnsi"/>
          <w:sz w:val="24"/>
          <w:szCs w:val="24"/>
        </w:rPr>
        <w:t>X</w:t>
      </w:r>
      <w:r w:rsidRPr="002E72E0">
        <w:rPr>
          <w:rFonts w:asciiTheme="majorHAnsi" w:hAnsiTheme="majorHAnsi"/>
          <w:sz w:val="24"/>
          <w:szCs w:val="24"/>
          <w:vertAlign w:val="subscript"/>
        </w:rPr>
        <w:t>4</w:t>
      </w:r>
      <w:r w:rsidRPr="002E72E0">
        <w:rPr>
          <w:rFonts w:asciiTheme="majorHAnsi" w:hAnsiTheme="majorHAnsi"/>
          <w:sz w:val="24"/>
          <w:szCs w:val="24"/>
        </w:rPr>
        <w:t>=</w:t>
      </w:r>
      <w:r>
        <w:rPr>
          <w:rFonts w:asciiTheme="majorHAnsi" w:hAnsiTheme="majorHAnsi"/>
          <w:sz w:val="24"/>
          <w:szCs w:val="24"/>
        </w:rPr>
        <w:t>Market Value of Equity/ Book Value of the Total Liabilities (Measure of Market leverage)</w:t>
      </w:r>
    </w:p>
    <w:p w:rsidR="007712A2" w:rsidRPr="002E72E0" w:rsidRDefault="007712A2" w:rsidP="007712A2">
      <w:pPr>
        <w:tabs>
          <w:tab w:val="left" w:pos="1381"/>
        </w:tabs>
        <w:spacing w:line="360" w:lineRule="auto"/>
        <w:jc w:val="both"/>
        <w:rPr>
          <w:rFonts w:asciiTheme="majorHAnsi" w:hAnsiTheme="majorHAnsi"/>
          <w:sz w:val="24"/>
          <w:szCs w:val="24"/>
        </w:rPr>
      </w:pPr>
      <w:r>
        <w:rPr>
          <w:rFonts w:asciiTheme="majorHAnsi" w:hAnsiTheme="majorHAnsi"/>
          <w:sz w:val="24"/>
          <w:szCs w:val="24"/>
        </w:rPr>
        <w:t>X</w:t>
      </w:r>
      <w:r w:rsidRPr="002E72E0">
        <w:rPr>
          <w:rFonts w:asciiTheme="majorHAnsi" w:hAnsiTheme="majorHAnsi"/>
          <w:sz w:val="24"/>
          <w:szCs w:val="24"/>
          <w:vertAlign w:val="subscript"/>
        </w:rPr>
        <w:t>5</w:t>
      </w:r>
      <w:r w:rsidRPr="002E72E0">
        <w:rPr>
          <w:rFonts w:asciiTheme="majorHAnsi" w:hAnsiTheme="majorHAnsi"/>
          <w:sz w:val="24"/>
          <w:szCs w:val="24"/>
        </w:rPr>
        <w:t>=</w:t>
      </w:r>
      <w:r>
        <w:rPr>
          <w:rFonts w:asciiTheme="majorHAnsi" w:hAnsiTheme="majorHAnsi"/>
          <w:sz w:val="24"/>
          <w:szCs w:val="24"/>
        </w:rPr>
        <w:t>Sales/ Total Asset (measure of sales generating potential of assets)</w:t>
      </w:r>
    </w:p>
    <w:p w:rsidR="007712A2" w:rsidRDefault="007712A2" w:rsidP="007712A2">
      <w:pPr>
        <w:tabs>
          <w:tab w:val="left" w:pos="1381"/>
        </w:tabs>
        <w:spacing w:line="360" w:lineRule="auto"/>
        <w:jc w:val="both"/>
        <w:rPr>
          <w:rFonts w:asciiTheme="majorHAnsi" w:hAnsiTheme="majorHAnsi"/>
          <w:sz w:val="24"/>
          <w:szCs w:val="24"/>
        </w:rPr>
      </w:pPr>
      <w:r w:rsidRPr="007D150F">
        <w:rPr>
          <w:rFonts w:asciiTheme="majorHAnsi" w:hAnsiTheme="majorHAnsi"/>
          <w:sz w:val="24"/>
          <w:szCs w:val="24"/>
        </w:rPr>
        <w:t>Bankruptcy prediction when Z is less than 1.2,</w:t>
      </w:r>
    </w:p>
    <w:p w:rsidR="007712A2" w:rsidRDefault="007712A2" w:rsidP="007712A2">
      <w:pPr>
        <w:tabs>
          <w:tab w:val="left" w:pos="1381"/>
        </w:tabs>
        <w:spacing w:line="360" w:lineRule="auto"/>
        <w:jc w:val="both"/>
        <w:rPr>
          <w:rFonts w:asciiTheme="majorHAnsi" w:hAnsiTheme="majorHAnsi"/>
          <w:sz w:val="24"/>
          <w:szCs w:val="24"/>
        </w:rPr>
      </w:pPr>
      <w:r w:rsidRPr="007D150F">
        <w:rPr>
          <w:rFonts w:asciiTheme="majorHAnsi" w:hAnsiTheme="majorHAnsi"/>
          <w:sz w:val="24"/>
          <w:szCs w:val="24"/>
        </w:rPr>
        <w:t>Z within the range between 1.2 and 2.9 is gray area and</w:t>
      </w:r>
    </w:p>
    <w:p w:rsidR="007712A2" w:rsidRPr="007D150F" w:rsidRDefault="007712A2" w:rsidP="007712A2">
      <w:pPr>
        <w:tabs>
          <w:tab w:val="left" w:pos="1381"/>
        </w:tabs>
        <w:spacing w:line="360" w:lineRule="auto"/>
        <w:jc w:val="both"/>
        <w:rPr>
          <w:rFonts w:asciiTheme="majorHAnsi" w:hAnsiTheme="majorHAnsi"/>
          <w:sz w:val="24"/>
          <w:szCs w:val="24"/>
        </w:rPr>
      </w:pPr>
      <w:r w:rsidRPr="007D150F">
        <w:rPr>
          <w:rFonts w:asciiTheme="majorHAnsi" w:hAnsiTheme="majorHAnsi"/>
          <w:sz w:val="24"/>
          <w:szCs w:val="24"/>
        </w:rPr>
        <w:t xml:space="preserve"> Z above 3 is safe.</w:t>
      </w:r>
    </w:p>
    <w:tbl>
      <w:tblPr>
        <w:tblW w:w="4193" w:type="dxa"/>
        <w:jc w:val="center"/>
        <w:tblInd w:w="103" w:type="dxa"/>
        <w:tblLook w:val="04A0"/>
      </w:tblPr>
      <w:tblGrid>
        <w:gridCol w:w="2097"/>
        <w:gridCol w:w="2096"/>
      </w:tblGrid>
      <w:tr w:rsidR="007712A2" w:rsidTr="007712A2">
        <w:trPr>
          <w:trHeight w:val="199"/>
          <w:jc w:val="center"/>
        </w:trPr>
        <w:tc>
          <w:tcPr>
            <w:tcW w:w="2097" w:type="dxa"/>
            <w:tcBorders>
              <w:top w:val="single" w:sz="4" w:space="0" w:color="auto"/>
              <w:left w:val="single" w:sz="4" w:space="0" w:color="auto"/>
              <w:bottom w:val="single" w:sz="4" w:space="0" w:color="auto"/>
              <w:right w:val="nil"/>
            </w:tcBorders>
            <w:shd w:val="clear" w:color="auto" w:fill="auto"/>
            <w:noWrap/>
            <w:vAlign w:val="center"/>
            <w:hideMark/>
          </w:tcPr>
          <w:p w:rsidR="007712A2" w:rsidRDefault="007712A2" w:rsidP="007712A2">
            <w:pPr>
              <w:jc w:val="center"/>
              <w:rPr>
                <w:rFonts w:ascii="Calibri" w:hAnsi="Calibri"/>
                <w:color w:val="000000"/>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A2" w:rsidRDefault="007712A2" w:rsidP="007712A2">
            <w:pPr>
              <w:jc w:val="center"/>
              <w:rPr>
                <w:rFonts w:ascii="Cambria" w:hAnsi="Cambria"/>
                <w:b/>
                <w:bCs/>
                <w:sz w:val="24"/>
                <w:szCs w:val="24"/>
              </w:rPr>
            </w:pPr>
            <w:r>
              <w:rPr>
                <w:rFonts w:ascii="Cambria" w:hAnsi="Cambria"/>
                <w:b/>
                <w:bCs/>
              </w:rPr>
              <w:t>2009</w:t>
            </w:r>
          </w:p>
        </w:tc>
      </w:tr>
      <w:tr w:rsidR="007712A2" w:rsidTr="007712A2">
        <w:trPr>
          <w:trHeight w:val="190"/>
          <w:jc w:val="center"/>
        </w:trPr>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A2" w:rsidRDefault="007712A2" w:rsidP="007712A2">
            <w:pPr>
              <w:jc w:val="center"/>
              <w:rPr>
                <w:rFonts w:ascii="Calibri" w:hAnsi="Calibri"/>
                <w:color w:val="000000"/>
              </w:rPr>
            </w:pPr>
            <w:r>
              <w:rPr>
                <w:rFonts w:ascii="Calibri" w:hAnsi="Calibri"/>
                <w:color w:val="000000"/>
              </w:rPr>
              <w:t>x1</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A2" w:rsidRDefault="007712A2" w:rsidP="007712A2">
            <w:pPr>
              <w:jc w:val="center"/>
              <w:rPr>
                <w:rFonts w:ascii="Calibri" w:hAnsi="Calibri"/>
                <w:color w:val="000000"/>
              </w:rPr>
            </w:pPr>
            <w:r>
              <w:rPr>
                <w:rFonts w:ascii="Calibri" w:hAnsi="Calibri"/>
                <w:color w:val="000000"/>
              </w:rPr>
              <w:t>0.026628594</w:t>
            </w:r>
          </w:p>
        </w:tc>
      </w:tr>
      <w:tr w:rsidR="007712A2" w:rsidTr="007712A2">
        <w:trPr>
          <w:trHeight w:val="190"/>
          <w:jc w:val="center"/>
        </w:trPr>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A2" w:rsidRDefault="007712A2" w:rsidP="007712A2">
            <w:pPr>
              <w:jc w:val="center"/>
              <w:rPr>
                <w:rFonts w:ascii="Calibri" w:hAnsi="Calibri"/>
                <w:color w:val="000000"/>
              </w:rPr>
            </w:pPr>
            <w:r>
              <w:rPr>
                <w:rFonts w:ascii="Calibri" w:hAnsi="Calibri"/>
                <w:color w:val="000000"/>
              </w:rPr>
              <w:t>x2</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A2" w:rsidRDefault="007712A2" w:rsidP="007712A2">
            <w:pPr>
              <w:jc w:val="center"/>
              <w:rPr>
                <w:rFonts w:ascii="Calibri" w:hAnsi="Calibri"/>
                <w:color w:val="000000"/>
              </w:rPr>
            </w:pPr>
            <w:r>
              <w:rPr>
                <w:rFonts w:ascii="Calibri" w:hAnsi="Calibri"/>
                <w:color w:val="000000"/>
              </w:rPr>
              <w:t>0.038472</w:t>
            </w:r>
          </w:p>
        </w:tc>
      </w:tr>
      <w:tr w:rsidR="007712A2" w:rsidTr="007712A2">
        <w:trPr>
          <w:trHeight w:val="190"/>
          <w:jc w:val="center"/>
        </w:trPr>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A2" w:rsidRDefault="007712A2" w:rsidP="007712A2">
            <w:pPr>
              <w:jc w:val="center"/>
              <w:rPr>
                <w:rFonts w:ascii="Calibri" w:hAnsi="Calibri"/>
                <w:color w:val="000000"/>
              </w:rPr>
            </w:pPr>
            <w:r>
              <w:rPr>
                <w:rFonts w:ascii="Calibri" w:hAnsi="Calibri"/>
                <w:color w:val="000000"/>
              </w:rPr>
              <w:t>x3</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A2" w:rsidRDefault="007712A2" w:rsidP="007712A2">
            <w:pPr>
              <w:jc w:val="center"/>
              <w:rPr>
                <w:rFonts w:ascii="Calibri" w:hAnsi="Calibri"/>
                <w:color w:val="000000"/>
              </w:rPr>
            </w:pPr>
            <w:r>
              <w:rPr>
                <w:rFonts w:ascii="Calibri" w:hAnsi="Calibri"/>
                <w:color w:val="000000"/>
              </w:rPr>
              <w:t>0.032591</w:t>
            </w:r>
          </w:p>
        </w:tc>
      </w:tr>
      <w:tr w:rsidR="007712A2" w:rsidTr="007712A2">
        <w:trPr>
          <w:trHeight w:val="190"/>
          <w:jc w:val="center"/>
        </w:trPr>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A2" w:rsidRDefault="007712A2" w:rsidP="007712A2">
            <w:pPr>
              <w:jc w:val="center"/>
              <w:rPr>
                <w:rFonts w:ascii="Calibri" w:hAnsi="Calibri"/>
                <w:color w:val="000000"/>
              </w:rPr>
            </w:pPr>
            <w:r>
              <w:rPr>
                <w:rFonts w:ascii="Calibri" w:hAnsi="Calibri"/>
                <w:color w:val="000000"/>
              </w:rPr>
              <w:t>x4</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A2" w:rsidRDefault="007712A2" w:rsidP="007712A2">
            <w:pPr>
              <w:jc w:val="center"/>
              <w:rPr>
                <w:rFonts w:ascii="Calibri" w:hAnsi="Calibri"/>
                <w:color w:val="000000"/>
              </w:rPr>
            </w:pPr>
            <w:r>
              <w:rPr>
                <w:rFonts w:ascii="Calibri" w:hAnsi="Calibri"/>
                <w:color w:val="000000"/>
              </w:rPr>
              <w:t>3.212</w:t>
            </w:r>
          </w:p>
        </w:tc>
      </w:tr>
      <w:tr w:rsidR="007712A2" w:rsidTr="007712A2">
        <w:trPr>
          <w:trHeight w:val="190"/>
          <w:jc w:val="center"/>
        </w:trPr>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A2" w:rsidRDefault="007712A2" w:rsidP="007712A2">
            <w:pPr>
              <w:jc w:val="center"/>
              <w:rPr>
                <w:rFonts w:ascii="Calibri" w:hAnsi="Calibri"/>
                <w:color w:val="000000"/>
              </w:rPr>
            </w:pPr>
            <w:r>
              <w:rPr>
                <w:rFonts w:ascii="Calibri" w:hAnsi="Calibri"/>
                <w:color w:val="000000"/>
              </w:rPr>
              <w:t>x5</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A2" w:rsidRDefault="007712A2" w:rsidP="007712A2">
            <w:pPr>
              <w:jc w:val="center"/>
              <w:rPr>
                <w:rFonts w:ascii="Calibri" w:hAnsi="Calibri"/>
                <w:color w:val="000000"/>
              </w:rPr>
            </w:pPr>
            <w:r>
              <w:rPr>
                <w:rFonts w:ascii="Calibri" w:hAnsi="Calibri"/>
                <w:color w:val="000000"/>
              </w:rPr>
              <w:t>1.3487</w:t>
            </w:r>
          </w:p>
        </w:tc>
      </w:tr>
      <w:tr w:rsidR="007712A2" w:rsidTr="007712A2">
        <w:trPr>
          <w:trHeight w:val="709"/>
          <w:jc w:val="center"/>
        </w:trPr>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A2" w:rsidRDefault="007712A2" w:rsidP="007712A2">
            <w:pPr>
              <w:jc w:val="center"/>
              <w:rPr>
                <w:rFonts w:ascii="Calibri" w:hAnsi="Calibri"/>
                <w:color w:val="000000"/>
              </w:rPr>
            </w:pPr>
            <w:r>
              <w:rPr>
                <w:rFonts w:ascii="Calibri" w:hAnsi="Calibri"/>
                <w:color w:val="000000"/>
              </w:rPr>
              <w:t>Z</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A2" w:rsidRDefault="007712A2" w:rsidP="007712A2">
            <w:pPr>
              <w:jc w:val="center"/>
              <w:rPr>
                <w:rFonts w:ascii="Calibri" w:hAnsi="Calibri"/>
                <w:color w:val="000000"/>
              </w:rPr>
            </w:pPr>
            <w:r>
              <w:rPr>
                <w:rFonts w:ascii="Calibri" w:hAnsi="Calibri"/>
                <w:color w:val="000000"/>
              </w:rPr>
              <w:t>3.469265413</w:t>
            </w:r>
          </w:p>
        </w:tc>
      </w:tr>
    </w:tbl>
    <w:p w:rsidR="007712A2" w:rsidRDefault="007712A2" w:rsidP="007712A2"/>
    <w:p w:rsidR="007712A2" w:rsidRPr="007712A2" w:rsidRDefault="007712A2" w:rsidP="007712A2">
      <w:r>
        <w:t>We can easily understand that according to Z score (3.5) the company is in the safe place.</w:t>
      </w:r>
    </w:p>
    <w:p w:rsidR="007712A2" w:rsidRDefault="007712A2" w:rsidP="00F02F06">
      <w:pPr>
        <w:jc w:val="both"/>
        <w:rPr>
          <w:rFonts w:asciiTheme="majorHAnsi" w:hAnsiTheme="majorHAnsi"/>
          <w:sz w:val="36"/>
          <w:szCs w:val="36"/>
          <w:u w:val="single"/>
        </w:rPr>
      </w:pPr>
    </w:p>
    <w:p w:rsidR="00F02F06" w:rsidRPr="00F02F06" w:rsidRDefault="00F02F06" w:rsidP="00F02F06">
      <w:pPr>
        <w:jc w:val="both"/>
        <w:rPr>
          <w:rFonts w:asciiTheme="majorHAnsi" w:hAnsiTheme="majorHAnsi"/>
          <w:sz w:val="36"/>
          <w:szCs w:val="36"/>
          <w:u w:val="single"/>
        </w:rPr>
      </w:pPr>
      <w:r w:rsidRPr="00F02F06">
        <w:rPr>
          <w:rFonts w:asciiTheme="majorHAnsi" w:hAnsiTheme="majorHAnsi"/>
          <w:sz w:val="36"/>
          <w:szCs w:val="36"/>
          <w:u w:val="single"/>
        </w:rPr>
        <w:lastRenderedPageBreak/>
        <w:t>Chapter 3</w:t>
      </w:r>
    </w:p>
    <w:p w:rsidR="00F02F06" w:rsidRDefault="00F02F06" w:rsidP="00F02F06">
      <w:pPr>
        <w:jc w:val="both"/>
        <w:rPr>
          <w:rFonts w:asciiTheme="majorHAnsi" w:hAnsiTheme="majorHAnsi"/>
          <w:sz w:val="24"/>
          <w:szCs w:val="24"/>
          <w:u w:val="single"/>
        </w:rPr>
      </w:pPr>
      <w:r w:rsidRPr="00F02F06">
        <w:rPr>
          <w:rFonts w:asciiTheme="majorHAnsi" w:hAnsiTheme="majorHAnsi"/>
          <w:sz w:val="24"/>
          <w:szCs w:val="24"/>
          <w:u w:val="single"/>
        </w:rPr>
        <w:t>Enquiry into Stock Price Movement</w:t>
      </w:r>
    </w:p>
    <w:p w:rsidR="00F02F06" w:rsidRPr="00F02F06" w:rsidRDefault="00F02F06" w:rsidP="00F02F06">
      <w:pPr>
        <w:jc w:val="both"/>
        <w:rPr>
          <w:rFonts w:asciiTheme="majorHAnsi" w:hAnsiTheme="majorHAnsi"/>
          <w:sz w:val="24"/>
          <w:szCs w:val="24"/>
          <w:u w:val="single"/>
        </w:rPr>
      </w:pPr>
    </w:p>
    <w:p w:rsidR="00F02F06" w:rsidRPr="00F02F06" w:rsidRDefault="00F02F06" w:rsidP="00F02F06">
      <w:pPr>
        <w:jc w:val="both"/>
        <w:rPr>
          <w:rFonts w:asciiTheme="majorHAnsi" w:hAnsiTheme="majorHAnsi"/>
          <w:sz w:val="24"/>
          <w:szCs w:val="24"/>
        </w:rPr>
      </w:pPr>
      <w:r w:rsidRPr="00F02F06">
        <w:rPr>
          <w:rFonts w:asciiTheme="majorHAnsi" w:hAnsiTheme="majorHAnsi"/>
          <w:sz w:val="24"/>
          <w:szCs w:val="24"/>
        </w:rPr>
        <w:t>In this chapter we will consider the stock price movement of Bangas Limited during the time period 2004-2009 with special emphasis on the stock price movement between 2007 to 2009. Daily stock price is affected due to various factors that can be a macroeconomic variable as well as company specific variable.</w:t>
      </w:r>
    </w:p>
    <w:p w:rsidR="00F02F06" w:rsidRPr="00F02F06" w:rsidRDefault="00F02F06" w:rsidP="00F02F06">
      <w:pPr>
        <w:jc w:val="both"/>
        <w:rPr>
          <w:rFonts w:asciiTheme="majorHAnsi" w:hAnsiTheme="majorHAnsi"/>
          <w:sz w:val="24"/>
          <w:szCs w:val="24"/>
        </w:rPr>
      </w:pPr>
      <w:r w:rsidRPr="00F02F06">
        <w:rPr>
          <w:rFonts w:asciiTheme="majorHAnsi" w:hAnsiTheme="majorHAnsi"/>
          <w:sz w:val="24"/>
          <w:szCs w:val="24"/>
        </w:rPr>
        <w:t xml:space="preserve"> In this section we will consider the corporate decision factors like </w:t>
      </w:r>
      <w:r w:rsidRPr="00F02F06">
        <w:rPr>
          <w:rFonts w:asciiTheme="majorHAnsi" w:hAnsiTheme="majorHAnsi"/>
          <w:b/>
          <w:i/>
          <w:sz w:val="24"/>
          <w:szCs w:val="24"/>
        </w:rPr>
        <w:t>Declaration Date</w:t>
      </w:r>
      <w:r w:rsidRPr="00F02F06">
        <w:rPr>
          <w:rFonts w:asciiTheme="majorHAnsi" w:hAnsiTheme="majorHAnsi"/>
          <w:i/>
          <w:sz w:val="24"/>
          <w:szCs w:val="24"/>
        </w:rPr>
        <w:t xml:space="preserve"> </w:t>
      </w:r>
      <w:r w:rsidRPr="00F02F06">
        <w:rPr>
          <w:rFonts w:asciiTheme="majorHAnsi" w:hAnsiTheme="majorHAnsi"/>
          <w:sz w:val="24"/>
          <w:szCs w:val="24"/>
        </w:rPr>
        <w:t xml:space="preserve">and </w:t>
      </w:r>
      <w:r w:rsidRPr="00F02F06">
        <w:rPr>
          <w:rFonts w:asciiTheme="majorHAnsi" w:hAnsiTheme="majorHAnsi"/>
          <w:b/>
          <w:i/>
          <w:sz w:val="24"/>
          <w:szCs w:val="24"/>
        </w:rPr>
        <w:t>Record Date</w:t>
      </w:r>
      <w:r w:rsidRPr="00F02F06">
        <w:rPr>
          <w:rFonts w:asciiTheme="majorHAnsi" w:hAnsiTheme="majorHAnsi"/>
          <w:sz w:val="24"/>
          <w:szCs w:val="24"/>
        </w:rPr>
        <w:t xml:space="preserve"> and Macroeconomics factors like </w:t>
      </w:r>
      <w:r w:rsidRPr="00F02F06">
        <w:rPr>
          <w:rFonts w:asciiTheme="majorHAnsi" w:hAnsiTheme="majorHAnsi"/>
          <w:b/>
          <w:i/>
          <w:sz w:val="24"/>
          <w:szCs w:val="24"/>
        </w:rPr>
        <w:t>General Election, Market Capitalization</w:t>
      </w:r>
      <w:r w:rsidRPr="00F02F06">
        <w:rPr>
          <w:rFonts w:asciiTheme="majorHAnsi" w:hAnsiTheme="majorHAnsi"/>
          <w:b/>
          <w:sz w:val="24"/>
          <w:szCs w:val="24"/>
        </w:rPr>
        <w:t xml:space="preserve"> and </w:t>
      </w:r>
      <w:r w:rsidRPr="00F02F06">
        <w:rPr>
          <w:rFonts w:asciiTheme="majorHAnsi" w:hAnsiTheme="majorHAnsi"/>
          <w:b/>
          <w:i/>
          <w:sz w:val="24"/>
          <w:szCs w:val="24"/>
        </w:rPr>
        <w:t>Market Turnover</w:t>
      </w:r>
      <w:r w:rsidRPr="00F02F06">
        <w:rPr>
          <w:rFonts w:asciiTheme="majorHAnsi" w:hAnsiTheme="majorHAnsi"/>
          <w:sz w:val="24"/>
          <w:szCs w:val="24"/>
        </w:rPr>
        <w:t>.</w:t>
      </w:r>
    </w:p>
    <w:p w:rsidR="00F02F06" w:rsidRPr="00F02F06" w:rsidRDefault="00F02F06" w:rsidP="00F02F06">
      <w:pPr>
        <w:jc w:val="both"/>
        <w:rPr>
          <w:rFonts w:asciiTheme="majorHAnsi" w:hAnsiTheme="majorHAnsi"/>
          <w:sz w:val="24"/>
          <w:szCs w:val="24"/>
        </w:rPr>
      </w:pPr>
    </w:p>
    <w:p w:rsidR="00F02F06" w:rsidRPr="00F02F06" w:rsidRDefault="00F02F06" w:rsidP="00F02F06">
      <w:pPr>
        <w:jc w:val="both"/>
        <w:rPr>
          <w:rFonts w:asciiTheme="majorHAnsi" w:hAnsiTheme="majorHAnsi"/>
          <w:sz w:val="24"/>
          <w:szCs w:val="24"/>
        </w:rPr>
      </w:pPr>
      <w:r w:rsidRPr="00F02F06">
        <w:rPr>
          <w:rFonts w:asciiTheme="majorHAnsi" w:hAnsiTheme="majorHAnsi"/>
          <w:sz w:val="24"/>
          <w:szCs w:val="24"/>
        </w:rPr>
        <w:t>First we look at the stock price of Bangas Limited from 2004 to 2009.</w:t>
      </w:r>
    </w:p>
    <w:p w:rsidR="00F02F06" w:rsidRPr="00F02F06" w:rsidRDefault="00F02F06" w:rsidP="00F02F06">
      <w:pPr>
        <w:jc w:val="both"/>
        <w:rPr>
          <w:rFonts w:asciiTheme="majorHAnsi" w:hAnsiTheme="majorHAnsi"/>
          <w:noProof/>
          <w:sz w:val="24"/>
          <w:szCs w:val="24"/>
        </w:rPr>
      </w:pPr>
      <w:r w:rsidRPr="00F02F06">
        <w:rPr>
          <w:rFonts w:asciiTheme="majorHAnsi" w:hAnsiTheme="majorHAnsi"/>
          <w:noProof/>
          <w:sz w:val="24"/>
          <w:szCs w:val="24"/>
          <w:lang w:bidi="bn-BD"/>
        </w:rPr>
        <w:drawing>
          <wp:inline distT="0" distB="0" distL="0" distR="0">
            <wp:extent cx="5942463" cy="3029082"/>
            <wp:effectExtent l="12188" t="6092" r="6094" b="1396"/>
            <wp:docPr id="19"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02F06" w:rsidRPr="00F02F06" w:rsidRDefault="00F02F06" w:rsidP="00F02F06">
      <w:pPr>
        <w:jc w:val="both"/>
        <w:rPr>
          <w:rFonts w:asciiTheme="majorHAnsi" w:hAnsiTheme="majorHAnsi"/>
          <w:noProof/>
          <w:sz w:val="24"/>
          <w:szCs w:val="24"/>
        </w:rPr>
      </w:pPr>
    </w:p>
    <w:p w:rsidR="00F02F06" w:rsidRPr="00F02F06" w:rsidRDefault="00F02F06" w:rsidP="00F02F06">
      <w:pPr>
        <w:jc w:val="both"/>
        <w:rPr>
          <w:rFonts w:asciiTheme="majorHAnsi" w:hAnsiTheme="majorHAnsi"/>
          <w:noProof/>
          <w:sz w:val="24"/>
          <w:szCs w:val="24"/>
        </w:rPr>
      </w:pPr>
      <w:r w:rsidRPr="00F02F06">
        <w:rPr>
          <w:rFonts w:asciiTheme="majorHAnsi" w:hAnsiTheme="majorHAnsi"/>
          <w:noProof/>
          <w:sz w:val="24"/>
          <w:szCs w:val="24"/>
        </w:rPr>
        <w:t>We can see that the stock price was around Tk300 between the year 2004 to 2007. But during the end of 2008 the stock price bagan to rise and on 21</w:t>
      </w:r>
      <w:r w:rsidRPr="00F02F06">
        <w:rPr>
          <w:rFonts w:asciiTheme="majorHAnsi" w:hAnsiTheme="majorHAnsi"/>
          <w:noProof/>
          <w:sz w:val="24"/>
          <w:szCs w:val="24"/>
          <w:vertAlign w:val="superscript"/>
        </w:rPr>
        <w:t>st</w:t>
      </w:r>
      <w:r w:rsidRPr="00F02F06">
        <w:rPr>
          <w:rFonts w:asciiTheme="majorHAnsi" w:hAnsiTheme="majorHAnsi"/>
          <w:noProof/>
          <w:sz w:val="24"/>
          <w:szCs w:val="24"/>
        </w:rPr>
        <w:t xml:space="preserve"> October 2009 it touched Tk.3199 which is the heighest value for this share so far.</w:t>
      </w:r>
    </w:p>
    <w:p w:rsidR="00F02F06" w:rsidRPr="00F02F06" w:rsidRDefault="00F02F06" w:rsidP="00F02F06">
      <w:pPr>
        <w:jc w:val="both"/>
        <w:rPr>
          <w:rFonts w:asciiTheme="majorHAnsi" w:hAnsiTheme="majorHAnsi"/>
          <w:sz w:val="24"/>
          <w:szCs w:val="24"/>
        </w:rPr>
      </w:pPr>
      <w:r w:rsidRPr="00F02F06">
        <w:rPr>
          <w:rFonts w:asciiTheme="majorHAnsi" w:hAnsiTheme="majorHAnsi"/>
          <w:noProof/>
          <w:sz w:val="24"/>
          <w:szCs w:val="24"/>
        </w:rPr>
        <w:t xml:space="preserve">From the above graph we can see that there was an unusual movement of the price in 2009. </w:t>
      </w:r>
      <w:r w:rsidRPr="00F02F06">
        <w:rPr>
          <w:rFonts w:asciiTheme="majorHAnsi" w:hAnsiTheme="majorHAnsi"/>
          <w:sz w:val="24"/>
          <w:szCs w:val="24"/>
        </w:rPr>
        <w:t>DSE inquiry tells us that there was no price sensitive information that was undisclosed for the price hike that we see.</w:t>
      </w:r>
    </w:p>
    <w:p w:rsidR="00F02F06" w:rsidRPr="00F02F06" w:rsidRDefault="00F02F06" w:rsidP="00F02F06">
      <w:pPr>
        <w:jc w:val="both"/>
        <w:rPr>
          <w:rFonts w:asciiTheme="majorHAnsi" w:hAnsiTheme="majorHAnsi"/>
          <w:sz w:val="24"/>
          <w:szCs w:val="24"/>
        </w:rPr>
      </w:pPr>
      <w:r w:rsidRPr="00F02F06">
        <w:rPr>
          <w:rFonts w:asciiTheme="majorHAnsi" w:hAnsiTheme="majorHAnsi"/>
          <w:sz w:val="24"/>
          <w:szCs w:val="24"/>
        </w:rPr>
        <w:lastRenderedPageBreak/>
        <w:t>We have made some regression analysis between the share price of Bangas and various macroeconomic and company specific factors to understand the relations between the share price movement of Bangas and the various factors.</w:t>
      </w:r>
    </w:p>
    <w:p w:rsidR="00F02F06" w:rsidRPr="00F02F06" w:rsidRDefault="00F02F06" w:rsidP="00F02F06">
      <w:pPr>
        <w:jc w:val="both"/>
        <w:rPr>
          <w:rFonts w:asciiTheme="majorHAnsi" w:hAnsiTheme="majorHAnsi"/>
          <w:sz w:val="24"/>
          <w:szCs w:val="24"/>
        </w:rPr>
      </w:pPr>
      <w:r w:rsidRPr="00F02F06">
        <w:rPr>
          <w:rFonts w:asciiTheme="majorHAnsi" w:hAnsiTheme="majorHAnsi"/>
          <w:sz w:val="24"/>
          <w:szCs w:val="24"/>
        </w:rPr>
        <w:t>The following table gives us the summary of the regression analysis where the stock price of Bangas limited was taken as dependable variable and various other macroeconomic and company specific factors were taken as independent variable.</w:t>
      </w:r>
    </w:p>
    <w:p w:rsidR="00F02F06" w:rsidRPr="00F02F06" w:rsidRDefault="00F02F06" w:rsidP="00F02F06">
      <w:pPr>
        <w:jc w:val="both"/>
        <w:rPr>
          <w:rFonts w:asciiTheme="majorHAnsi" w:hAnsiTheme="majorHAnsi"/>
          <w:sz w:val="24"/>
          <w:szCs w:val="24"/>
        </w:rPr>
      </w:pPr>
    </w:p>
    <w:p w:rsidR="00F02F06" w:rsidRPr="00F02F06" w:rsidRDefault="00F02F06" w:rsidP="00F02F06">
      <w:pPr>
        <w:pStyle w:val="Caption"/>
        <w:keepNext/>
        <w:rPr>
          <w:rFonts w:asciiTheme="majorHAnsi" w:hAnsiTheme="majorHAnsi"/>
          <w:sz w:val="24"/>
          <w:szCs w:val="24"/>
        </w:rPr>
      </w:pPr>
      <w:r w:rsidRPr="00F02F06">
        <w:rPr>
          <w:rFonts w:asciiTheme="majorHAnsi" w:hAnsiTheme="majorHAnsi"/>
          <w:sz w:val="24"/>
          <w:szCs w:val="24"/>
        </w:rPr>
        <w:t>Table: Summary of Regression Analysis where Stock Price movement of Bangas as dependent and other factors as independent variable</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434"/>
        <w:gridCol w:w="1536"/>
        <w:gridCol w:w="1506"/>
        <w:gridCol w:w="1755"/>
        <w:gridCol w:w="1507"/>
        <w:gridCol w:w="1507"/>
      </w:tblGrid>
      <w:tr w:rsidR="00F02F06" w:rsidRPr="00F02F06" w:rsidTr="00FA5169">
        <w:tc>
          <w:tcPr>
            <w:tcW w:w="1540" w:type="dxa"/>
            <w:tcBorders>
              <w:top w:val="single" w:sz="8" w:space="0" w:color="FFFFFF"/>
              <w:left w:val="single" w:sz="8" w:space="0" w:color="FFFFFF"/>
              <w:bottom w:val="single" w:sz="24" w:space="0" w:color="FFFFFF"/>
              <w:right w:val="single" w:sz="8" w:space="0" w:color="FFFFFF"/>
            </w:tcBorders>
            <w:shd w:val="clear" w:color="auto" w:fill="9BBB59"/>
          </w:tcPr>
          <w:p w:rsidR="00F02F06" w:rsidRPr="00F02F06" w:rsidRDefault="00F02F06" w:rsidP="00FA5169">
            <w:pPr>
              <w:jc w:val="both"/>
              <w:rPr>
                <w:rFonts w:asciiTheme="majorHAnsi" w:hAnsiTheme="majorHAnsi"/>
                <w:b/>
                <w:bCs/>
                <w:color w:val="FFFFFF"/>
                <w:sz w:val="24"/>
                <w:szCs w:val="24"/>
              </w:rPr>
            </w:pPr>
          </w:p>
        </w:tc>
        <w:tc>
          <w:tcPr>
            <w:tcW w:w="1540" w:type="dxa"/>
            <w:tcBorders>
              <w:top w:val="single" w:sz="8" w:space="0" w:color="FFFFFF"/>
              <w:left w:val="single" w:sz="8" w:space="0" w:color="FFFFFF"/>
              <w:bottom w:val="single" w:sz="24" w:space="0" w:color="FFFFFF"/>
              <w:right w:val="single" w:sz="8" w:space="0" w:color="FFFFFF"/>
            </w:tcBorders>
            <w:shd w:val="clear" w:color="auto" w:fill="9BBB59"/>
          </w:tcPr>
          <w:p w:rsidR="00F02F06" w:rsidRPr="00F02F06" w:rsidRDefault="00F02F06" w:rsidP="00FA5169">
            <w:pPr>
              <w:jc w:val="both"/>
              <w:rPr>
                <w:rFonts w:asciiTheme="majorHAnsi" w:hAnsiTheme="majorHAnsi"/>
                <w:b/>
                <w:bCs/>
                <w:color w:val="FFFFFF"/>
                <w:sz w:val="24"/>
                <w:szCs w:val="24"/>
              </w:rPr>
            </w:pPr>
            <w:r w:rsidRPr="00F02F06">
              <w:rPr>
                <w:rFonts w:asciiTheme="majorHAnsi" w:hAnsiTheme="majorHAnsi"/>
                <w:b/>
                <w:bCs/>
                <w:color w:val="FFFFFF"/>
                <w:sz w:val="24"/>
                <w:szCs w:val="24"/>
              </w:rPr>
              <w:t>Declaration Date</w:t>
            </w:r>
          </w:p>
        </w:tc>
        <w:tc>
          <w:tcPr>
            <w:tcW w:w="1540" w:type="dxa"/>
            <w:tcBorders>
              <w:top w:val="single" w:sz="8" w:space="0" w:color="FFFFFF"/>
              <w:left w:val="single" w:sz="8" w:space="0" w:color="FFFFFF"/>
              <w:bottom w:val="single" w:sz="24" w:space="0" w:color="FFFFFF"/>
              <w:right w:val="single" w:sz="8" w:space="0" w:color="FFFFFF"/>
            </w:tcBorders>
            <w:shd w:val="clear" w:color="auto" w:fill="9BBB59"/>
          </w:tcPr>
          <w:p w:rsidR="00F02F06" w:rsidRPr="00F02F06" w:rsidRDefault="00F02F06" w:rsidP="00FA5169">
            <w:pPr>
              <w:jc w:val="both"/>
              <w:rPr>
                <w:rFonts w:asciiTheme="majorHAnsi" w:hAnsiTheme="majorHAnsi"/>
                <w:b/>
                <w:bCs/>
                <w:color w:val="FFFFFF"/>
                <w:sz w:val="24"/>
                <w:szCs w:val="24"/>
              </w:rPr>
            </w:pPr>
            <w:r w:rsidRPr="00F02F06">
              <w:rPr>
                <w:rFonts w:asciiTheme="majorHAnsi" w:hAnsiTheme="majorHAnsi"/>
                <w:b/>
                <w:bCs/>
                <w:color w:val="FFFFFF"/>
                <w:sz w:val="24"/>
                <w:szCs w:val="24"/>
              </w:rPr>
              <w:t>Record Date</w:t>
            </w:r>
          </w:p>
        </w:tc>
        <w:tc>
          <w:tcPr>
            <w:tcW w:w="1541" w:type="dxa"/>
            <w:tcBorders>
              <w:top w:val="single" w:sz="8" w:space="0" w:color="FFFFFF"/>
              <w:left w:val="single" w:sz="8" w:space="0" w:color="FFFFFF"/>
              <w:bottom w:val="single" w:sz="24" w:space="0" w:color="FFFFFF"/>
              <w:right w:val="single" w:sz="8" w:space="0" w:color="FFFFFF"/>
            </w:tcBorders>
            <w:shd w:val="clear" w:color="auto" w:fill="9BBB59"/>
          </w:tcPr>
          <w:p w:rsidR="00F02F06" w:rsidRPr="00F02F06" w:rsidRDefault="00F02F06" w:rsidP="00FA5169">
            <w:pPr>
              <w:jc w:val="center"/>
              <w:rPr>
                <w:rFonts w:asciiTheme="majorHAnsi" w:hAnsiTheme="majorHAnsi"/>
                <w:b/>
                <w:bCs/>
                <w:color w:val="FFFFFF"/>
                <w:sz w:val="24"/>
                <w:szCs w:val="24"/>
              </w:rPr>
            </w:pPr>
            <w:r w:rsidRPr="00F02F06">
              <w:rPr>
                <w:rFonts w:asciiTheme="majorHAnsi" w:hAnsiTheme="majorHAnsi"/>
                <w:b/>
                <w:bCs/>
                <w:color w:val="FFFFFF"/>
                <w:sz w:val="24"/>
                <w:szCs w:val="24"/>
              </w:rPr>
              <w:t>Market Capitalization</w:t>
            </w:r>
          </w:p>
        </w:tc>
        <w:tc>
          <w:tcPr>
            <w:tcW w:w="1541" w:type="dxa"/>
            <w:tcBorders>
              <w:top w:val="single" w:sz="8" w:space="0" w:color="FFFFFF"/>
              <w:left w:val="single" w:sz="8" w:space="0" w:color="FFFFFF"/>
              <w:bottom w:val="single" w:sz="24" w:space="0" w:color="FFFFFF"/>
              <w:right w:val="single" w:sz="8" w:space="0" w:color="FFFFFF"/>
            </w:tcBorders>
            <w:shd w:val="clear" w:color="auto" w:fill="9BBB59"/>
          </w:tcPr>
          <w:p w:rsidR="00F02F06" w:rsidRPr="00F02F06" w:rsidRDefault="00F02F06" w:rsidP="00FA5169">
            <w:pPr>
              <w:jc w:val="center"/>
              <w:rPr>
                <w:rFonts w:asciiTheme="majorHAnsi" w:hAnsiTheme="majorHAnsi"/>
                <w:b/>
                <w:bCs/>
                <w:color w:val="FFFFFF"/>
                <w:sz w:val="24"/>
                <w:szCs w:val="24"/>
              </w:rPr>
            </w:pPr>
            <w:r w:rsidRPr="00F02F06">
              <w:rPr>
                <w:rFonts w:asciiTheme="majorHAnsi" w:hAnsiTheme="majorHAnsi"/>
                <w:b/>
                <w:bCs/>
                <w:color w:val="FFFFFF"/>
                <w:sz w:val="24"/>
                <w:szCs w:val="24"/>
              </w:rPr>
              <w:t>Market Turnover</w:t>
            </w:r>
          </w:p>
        </w:tc>
        <w:tc>
          <w:tcPr>
            <w:tcW w:w="1541" w:type="dxa"/>
            <w:tcBorders>
              <w:top w:val="single" w:sz="8" w:space="0" w:color="FFFFFF"/>
              <w:left w:val="single" w:sz="8" w:space="0" w:color="FFFFFF"/>
              <w:bottom w:val="single" w:sz="24" w:space="0" w:color="FFFFFF"/>
              <w:right w:val="single" w:sz="8" w:space="0" w:color="FFFFFF"/>
            </w:tcBorders>
            <w:shd w:val="clear" w:color="auto" w:fill="9BBB59"/>
          </w:tcPr>
          <w:p w:rsidR="00F02F06" w:rsidRPr="00F02F06" w:rsidRDefault="00F02F06" w:rsidP="00FA5169">
            <w:pPr>
              <w:jc w:val="center"/>
              <w:rPr>
                <w:rFonts w:asciiTheme="majorHAnsi" w:hAnsiTheme="majorHAnsi"/>
                <w:b/>
                <w:bCs/>
                <w:color w:val="FFFFFF"/>
                <w:sz w:val="24"/>
                <w:szCs w:val="24"/>
              </w:rPr>
            </w:pPr>
            <w:r w:rsidRPr="00F02F06">
              <w:rPr>
                <w:rFonts w:asciiTheme="majorHAnsi" w:hAnsiTheme="majorHAnsi"/>
                <w:b/>
                <w:bCs/>
                <w:color w:val="FFFFFF"/>
                <w:sz w:val="24"/>
                <w:szCs w:val="24"/>
              </w:rPr>
              <w:t>General Election</w:t>
            </w:r>
          </w:p>
        </w:tc>
      </w:tr>
      <w:tr w:rsidR="00F02F06" w:rsidRPr="00F02F06" w:rsidTr="00FA5169">
        <w:tc>
          <w:tcPr>
            <w:tcW w:w="1540" w:type="dxa"/>
            <w:tcBorders>
              <w:top w:val="single" w:sz="8" w:space="0" w:color="FFFFFF"/>
              <w:left w:val="single" w:sz="8" w:space="0" w:color="FFFFFF"/>
              <w:bottom w:val="nil"/>
              <w:right w:val="single" w:sz="24" w:space="0" w:color="FFFFFF"/>
            </w:tcBorders>
            <w:shd w:val="clear" w:color="auto" w:fill="9BBB59"/>
          </w:tcPr>
          <w:p w:rsidR="00F02F06" w:rsidRPr="00F02F06" w:rsidRDefault="00F02F06" w:rsidP="00FA5169">
            <w:pPr>
              <w:jc w:val="center"/>
              <w:rPr>
                <w:rFonts w:asciiTheme="majorHAnsi" w:hAnsiTheme="majorHAnsi"/>
                <w:b/>
                <w:bCs/>
                <w:color w:val="FFFFFF"/>
                <w:sz w:val="24"/>
                <w:szCs w:val="24"/>
              </w:rPr>
            </w:pPr>
            <w:r w:rsidRPr="00F02F06">
              <w:rPr>
                <w:rFonts w:asciiTheme="majorHAnsi" w:hAnsiTheme="majorHAnsi"/>
                <w:b/>
                <w:bCs/>
                <w:color w:val="FFFFFF"/>
                <w:sz w:val="24"/>
                <w:szCs w:val="24"/>
              </w:rPr>
              <w:t>2009</w:t>
            </w:r>
          </w:p>
        </w:tc>
        <w:tc>
          <w:tcPr>
            <w:tcW w:w="1540" w:type="dxa"/>
            <w:tcBorders>
              <w:top w:val="single" w:sz="8" w:space="0" w:color="FFFFFF"/>
              <w:left w:val="single" w:sz="8" w:space="0" w:color="FFFFFF"/>
              <w:bottom w:val="single" w:sz="8" w:space="0" w:color="FFFFFF"/>
              <w:right w:val="single" w:sz="8" w:space="0" w:color="FFFFFF"/>
            </w:tcBorders>
            <w:shd w:val="clear" w:color="auto" w:fill="CDDDAC"/>
          </w:tcPr>
          <w:p w:rsidR="00F02F06" w:rsidRPr="00F02F06" w:rsidRDefault="00F02F06" w:rsidP="00FA5169">
            <w:pPr>
              <w:jc w:val="center"/>
              <w:rPr>
                <w:rFonts w:asciiTheme="majorHAnsi" w:hAnsiTheme="majorHAnsi"/>
                <w:sz w:val="24"/>
                <w:szCs w:val="24"/>
              </w:rPr>
            </w:pPr>
            <w:r w:rsidRPr="00F02F06">
              <w:rPr>
                <w:rFonts w:asciiTheme="majorHAnsi" w:hAnsiTheme="majorHAnsi"/>
                <w:sz w:val="24"/>
                <w:szCs w:val="24"/>
              </w:rPr>
              <w:t>Not Significant</w:t>
            </w:r>
          </w:p>
          <w:p w:rsidR="00F02F06" w:rsidRPr="00F02F06" w:rsidRDefault="00F02F06" w:rsidP="00FA5169">
            <w:pPr>
              <w:jc w:val="center"/>
              <w:rPr>
                <w:rFonts w:asciiTheme="majorHAnsi" w:hAnsiTheme="majorHAnsi"/>
                <w:sz w:val="24"/>
                <w:szCs w:val="24"/>
              </w:rPr>
            </w:pPr>
          </w:p>
        </w:tc>
        <w:tc>
          <w:tcPr>
            <w:tcW w:w="1540" w:type="dxa"/>
            <w:tcBorders>
              <w:top w:val="single" w:sz="8" w:space="0" w:color="FFFFFF"/>
              <w:left w:val="single" w:sz="8" w:space="0" w:color="FFFFFF"/>
              <w:bottom w:val="single" w:sz="8" w:space="0" w:color="FFFFFF"/>
              <w:right w:val="single" w:sz="8" w:space="0" w:color="FFFFFF"/>
            </w:tcBorders>
            <w:shd w:val="clear" w:color="auto" w:fill="CDDDAC"/>
          </w:tcPr>
          <w:p w:rsidR="00F02F06" w:rsidRPr="00F02F06" w:rsidRDefault="00F02F06" w:rsidP="00FA5169">
            <w:pPr>
              <w:jc w:val="center"/>
              <w:rPr>
                <w:rFonts w:asciiTheme="majorHAnsi" w:hAnsiTheme="majorHAnsi"/>
                <w:sz w:val="24"/>
                <w:szCs w:val="24"/>
              </w:rPr>
            </w:pPr>
            <w:r w:rsidRPr="00F02F06">
              <w:rPr>
                <w:rFonts w:asciiTheme="majorHAnsi" w:hAnsiTheme="majorHAnsi"/>
                <w:sz w:val="24"/>
                <w:szCs w:val="24"/>
              </w:rPr>
              <w:t>Not Significant</w:t>
            </w:r>
          </w:p>
          <w:p w:rsidR="00F02F06" w:rsidRPr="00F02F06" w:rsidRDefault="00F02F06" w:rsidP="00FA5169">
            <w:pPr>
              <w:jc w:val="center"/>
              <w:rPr>
                <w:rFonts w:asciiTheme="majorHAnsi" w:hAnsiTheme="majorHAnsi"/>
                <w:sz w:val="24"/>
                <w:szCs w:val="24"/>
              </w:rPr>
            </w:pPr>
          </w:p>
        </w:tc>
        <w:tc>
          <w:tcPr>
            <w:tcW w:w="1541" w:type="dxa"/>
            <w:tcBorders>
              <w:top w:val="single" w:sz="8" w:space="0" w:color="FFFFFF"/>
              <w:left w:val="single" w:sz="8" w:space="0" w:color="FFFFFF"/>
              <w:bottom w:val="single" w:sz="8" w:space="0" w:color="FFFFFF"/>
              <w:right w:val="single" w:sz="8" w:space="0" w:color="FFFFFF"/>
            </w:tcBorders>
            <w:shd w:val="clear" w:color="auto" w:fill="CDDDAC"/>
          </w:tcPr>
          <w:p w:rsidR="00F02F06" w:rsidRPr="00F02F06" w:rsidRDefault="00F02F06" w:rsidP="00FA5169">
            <w:pPr>
              <w:jc w:val="center"/>
              <w:rPr>
                <w:rFonts w:asciiTheme="majorHAnsi" w:hAnsiTheme="majorHAnsi"/>
                <w:sz w:val="24"/>
                <w:szCs w:val="24"/>
              </w:rPr>
            </w:pPr>
            <w:r w:rsidRPr="00F02F06">
              <w:rPr>
                <w:rFonts w:asciiTheme="majorHAnsi" w:hAnsiTheme="majorHAnsi"/>
                <w:sz w:val="24"/>
                <w:szCs w:val="24"/>
              </w:rPr>
              <w:t>Significant</w:t>
            </w:r>
          </w:p>
          <w:p w:rsidR="00F02F06" w:rsidRPr="00F02F06" w:rsidRDefault="00F02F06" w:rsidP="00FA5169">
            <w:pPr>
              <w:jc w:val="center"/>
              <w:rPr>
                <w:rFonts w:asciiTheme="majorHAnsi" w:hAnsiTheme="majorHAnsi"/>
                <w:sz w:val="24"/>
                <w:szCs w:val="24"/>
              </w:rPr>
            </w:pPr>
          </w:p>
        </w:tc>
        <w:tc>
          <w:tcPr>
            <w:tcW w:w="1541" w:type="dxa"/>
            <w:tcBorders>
              <w:top w:val="single" w:sz="8" w:space="0" w:color="FFFFFF"/>
              <w:left w:val="single" w:sz="8" w:space="0" w:color="FFFFFF"/>
              <w:bottom w:val="single" w:sz="8" w:space="0" w:color="FFFFFF"/>
              <w:right w:val="single" w:sz="8" w:space="0" w:color="FFFFFF"/>
            </w:tcBorders>
            <w:shd w:val="clear" w:color="auto" w:fill="CDDDAC"/>
          </w:tcPr>
          <w:p w:rsidR="00F02F06" w:rsidRPr="00F02F06" w:rsidRDefault="00F02F06" w:rsidP="00FA5169">
            <w:pPr>
              <w:jc w:val="center"/>
              <w:rPr>
                <w:rFonts w:asciiTheme="majorHAnsi" w:hAnsiTheme="majorHAnsi"/>
                <w:sz w:val="24"/>
                <w:szCs w:val="24"/>
              </w:rPr>
            </w:pPr>
            <w:r w:rsidRPr="00F02F06">
              <w:rPr>
                <w:rFonts w:asciiTheme="majorHAnsi" w:hAnsiTheme="majorHAnsi"/>
                <w:sz w:val="24"/>
                <w:szCs w:val="24"/>
              </w:rPr>
              <w:t>Significant</w:t>
            </w:r>
          </w:p>
          <w:p w:rsidR="00F02F06" w:rsidRPr="00F02F06" w:rsidRDefault="00F02F06" w:rsidP="00FA5169">
            <w:pPr>
              <w:jc w:val="center"/>
              <w:rPr>
                <w:rFonts w:asciiTheme="majorHAnsi" w:hAnsiTheme="majorHAnsi"/>
                <w:sz w:val="24"/>
                <w:szCs w:val="24"/>
              </w:rPr>
            </w:pPr>
          </w:p>
        </w:tc>
        <w:tc>
          <w:tcPr>
            <w:tcW w:w="1541" w:type="dxa"/>
            <w:tcBorders>
              <w:top w:val="single" w:sz="8" w:space="0" w:color="FFFFFF"/>
              <w:left w:val="single" w:sz="8" w:space="0" w:color="FFFFFF"/>
              <w:bottom w:val="single" w:sz="8" w:space="0" w:color="FFFFFF"/>
              <w:right w:val="single" w:sz="8" w:space="0" w:color="FFFFFF"/>
            </w:tcBorders>
            <w:shd w:val="clear" w:color="auto" w:fill="CDDDAC"/>
          </w:tcPr>
          <w:p w:rsidR="00F02F06" w:rsidRPr="00F02F06" w:rsidRDefault="00F02F06" w:rsidP="00FA5169">
            <w:pPr>
              <w:jc w:val="center"/>
              <w:rPr>
                <w:rFonts w:asciiTheme="majorHAnsi" w:hAnsiTheme="majorHAnsi"/>
                <w:sz w:val="24"/>
                <w:szCs w:val="24"/>
              </w:rPr>
            </w:pPr>
            <w:r w:rsidRPr="00F02F06">
              <w:rPr>
                <w:rFonts w:asciiTheme="majorHAnsi" w:hAnsiTheme="majorHAnsi"/>
                <w:sz w:val="24"/>
                <w:szCs w:val="24"/>
              </w:rPr>
              <w:t>Significant</w:t>
            </w:r>
          </w:p>
          <w:p w:rsidR="00F02F06" w:rsidRPr="00F02F06" w:rsidRDefault="00F02F06" w:rsidP="00FA5169">
            <w:pPr>
              <w:jc w:val="center"/>
              <w:rPr>
                <w:rFonts w:asciiTheme="majorHAnsi" w:hAnsiTheme="majorHAnsi"/>
                <w:sz w:val="24"/>
                <w:szCs w:val="24"/>
              </w:rPr>
            </w:pPr>
          </w:p>
        </w:tc>
      </w:tr>
      <w:tr w:rsidR="00F02F06" w:rsidRPr="00F02F06" w:rsidTr="00FA5169">
        <w:tc>
          <w:tcPr>
            <w:tcW w:w="1540" w:type="dxa"/>
            <w:tcBorders>
              <w:left w:val="single" w:sz="8" w:space="0" w:color="FFFFFF"/>
              <w:bottom w:val="nil"/>
              <w:right w:val="single" w:sz="24" w:space="0" w:color="FFFFFF"/>
            </w:tcBorders>
            <w:shd w:val="clear" w:color="auto" w:fill="9BBB59"/>
          </w:tcPr>
          <w:p w:rsidR="00F02F06" w:rsidRPr="00F02F06" w:rsidRDefault="00F02F06" w:rsidP="00FA5169">
            <w:pPr>
              <w:jc w:val="center"/>
              <w:rPr>
                <w:rFonts w:asciiTheme="majorHAnsi" w:hAnsiTheme="majorHAnsi"/>
                <w:b/>
                <w:bCs/>
                <w:color w:val="FFFFFF"/>
                <w:sz w:val="24"/>
                <w:szCs w:val="24"/>
              </w:rPr>
            </w:pPr>
            <w:r w:rsidRPr="00F02F06">
              <w:rPr>
                <w:rFonts w:asciiTheme="majorHAnsi" w:hAnsiTheme="majorHAnsi"/>
                <w:b/>
                <w:bCs/>
                <w:color w:val="FFFFFF"/>
                <w:sz w:val="24"/>
                <w:szCs w:val="24"/>
              </w:rPr>
              <w:t>2008</w:t>
            </w:r>
          </w:p>
        </w:tc>
        <w:tc>
          <w:tcPr>
            <w:tcW w:w="1540" w:type="dxa"/>
            <w:shd w:val="clear" w:color="auto" w:fill="E6EED5"/>
          </w:tcPr>
          <w:p w:rsidR="00F02F06" w:rsidRPr="00F02F06" w:rsidRDefault="00F02F06" w:rsidP="00FA5169">
            <w:pPr>
              <w:jc w:val="center"/>
              <w:rPr>
                <w:rFonts w:asciiTheme="majorHAnsi" w:hAnsiTheme="majorHAnsi"/>
                <w:sz w:val="24"/>
                <w:szCs w:val="24"/>
              </w:rPr>
            </w:pPr>
            <w:r w:rsidRPr="00F02F06">
              <w:rPr>
                <w:rFonts w:asciiTheme="majorHAnsi" w:hAnsiTheme="majorHAnsi"/>
                <w:sz w:val="24"/>
                <w:szCs w:val="24"/>
              </w:rPr>
              <w:t>Significant</w:t>
            </w:r>
          </w:p>
          <w:p w:rsidR="00F02F06" w:rsidRPr="00F02F06" w:rsidRDefault="00F02F06" w:rsidP="00FA5169">
            <w:pPr>
              <w:jc w:val="center"/>
              <w:rPr>
                <w:rFonts w:asciiTheme="majorHAnsi" w:hAnsiTheme="majorHAnsi"/>
                <w:sz w:val="24"/>
                <w:szCs w:val="24"/>
              </w:rPr>
            </w:pPr>
          </w:p>
        </w:tc>
        <w:tc>
          <w:tcPr>
            <w:tcW w:w="1540" w:type="dxa"/>
            <w:shd w:val="clear" w:color="auto" w:fill="E6EED5"/>
          </w:tcPr>
          <w:p w:rsidR="00F02F06" w:rsidRPr="00F02F06" w:rsidRDefault="00F02F06" w:rsidP="00FA5169">
            <w:pPr>
              <w:jc w:val="center"/>
              <w:rPr>
                <w:rFonts w:asciiTheme="majorHAnsi" w:hAnsiTheme="majorHAnsi"/>
                <w:sz w:val="24"/>
                <w:szCs w:val="24"/>
              </w:rPr>
            </w:pPr>
            <w:r w:rsidRPr="00F02F06">
              <w:rPr>
                <w:rFonts w:asciiTheme="majorHAnsi" w:hAnsiTheme="majorHAnsi"/>
                <w:sz w:val="24"/>
                <w:szCs w:val="24"/>
              </w:rPr>
              <w:t>Not Significant</w:t>
            </w:r>
          </w:p>
          <w:p w:rsidR="00F02F06" w:rsidRPr="00F02F06" w:rsidRDefault="00F02F06" w:rsidP="00FA5169">
            <w:pPr>
              <w:jc w:val="center"/>
              <w:rPr>
                <w:rFonts w:asciiTheme="majorHAnsi" w:hAnsiTheme="majorHAnsi"/>
                <w:sz w:val="24"/>
                <w:szCs w:val="24"/>
              </w:rPr>
            </w:pPr>
          </w:p>
        </w:tc>
        <w:tc>
          <w:tcPr>
            <w:tcW w:w="1541" w:type="dxa"/>
            <w:shd w:val="clear" w:color="auto" w:fill="E6EED5"/>
          </w:tcPr>
          <w:p w:rsidR="00F02F06" w:rsidRPr="00F02F06" w:rsidRDefault="00F02F06" w:rsidP="00FA5169">
            <w:pPr>
              <w:jc w:val="center"/>
              <w:rPr>
                <w:rFonts w:asciiTheme="majorHAnsi" w:hAnsiTheme="majorHAnsi"/>
                <w:sz w:val="24"/>
                <w:szCs w:val="24"/>
              </w:rPr>
            </w:pPr>
            <w:r w:rsidRPr="00F02F06">
              <w:rPr>
                <w:rFonts w:asciiTheme="majorHAnsi" w:hAnsiTheme="majorHAnsi"/>
                <w:sz w:val="24"/>
                <w:szCs w:val="24"/>
              </w:rPr>
              <w:t>Significant</w:t>
            </w:r>
          </w:p>
          <w:p w:rsidR="00F02F06" w:rsidRPr="00F02F06" w:rsidRDefault="00F02F06" w:rsidP="00FA5169">
            <w:pPr>
              <w:jc w:val="center"/>
              <w:rPr>
                <w:rFonts w:asciiTheme="majorHAnsi" w:hAnsiTheme="majorHAnsi"/>
                <w:sz w:val="24"/>
                <w:szCs w:val="24"/>
              </w:rPr>
            </w:pPr>
          </w:p>
        </w:tc>
        <w:tc>
          <w:tcPr>
            <w:tcW w:w="1541" w:type="dxa"/>
            <w:shd w:val="clear" w:color="auto" w:fill="E6EED5"/>
          </w:tcPr>
          <w:p w:rsidR="00F02F06" w:rsidRPr="00F02F06" w:rsidRDefault="00F02F06" w:rsidP="00FA5169">
            <w:pPr>
              <w:jc w:val="center"/>
              <w:rPr>
                <w:rFonts w:asciiTheme="majorHAnsi" w:hAnsiTheme="majorHAnsi"/>
                <w:sz w:val="24"/>
                <w:szCs w:val="24"/>
              </w:rPr>
            </w:pPr>
            <w:r w:rsidRPr="00F02F06">
              <w:rPr>
                <w:rFonts w:asciiTheme="majorHAnsi" w:hAnsiTheme="majorHAnsi"/>
                <w:sz w:val="24"/>
                <w:szCs w:val="24"/>
              </w:rPr>
              <w:t>Significant</w:t>
            </w:r>
          </w:p>
          <w:p w:rsidR="00F02F06" w:rsidRPr="00F02F06" w:rsidRDefault="00F02F06" w:rsidP="00FA5169">
            <w:pPr>
              <w:jc w:val="center"/>
              <w:rPr>
                <w:rFonts w:asciiTheme="majorHAnsi" w:hAnsiTheme="majorHAnsi"/>
                <w:sz w:val="24"/>
                <w:szCs w:val="24"/>
              </w:rPr>
            </w:pPr>
          </w:p>
        </w:tc>
        <w:tc>
          <w:tcPr>
            <w:tcW w:w="1541" w:type="dxa"/>
            <w:shd w:val="clear" w:color="auto" w:fill="E6EED5"/>
          </w:tcPr>
          <w:p w:rsidR="00F02F06" w:rsidRPr="00F02F06" w:rsidRDefault="00F02F06" w:rsidP="00FA5169">
            <w:pPr>
              <w:jc w:val="center"/>
              <w:rPr>
                <w:rFonts w:asciiTheme="majorHAnsi" w:hAnsiTheme="majorHAnsi"/>
                <w:sz w:val="24"/>
                <w:szCs w:val="24"/>
              </w:rPr>
            </w:pPr>
            <w:r w:rsidRPr="00F02F06">
              <w:rPr>
                <w:rFonts w:asciiTheme="majorHAnsi" w:hAnsiTheme="majorHAnsi"/>
                <w:sz w:val="24"/>
                <w:szCs w:val="24"/>
              </w:rPr>
              <w:t>----</w:t>
            </w:r>
          </w:p>
        </w:tc>
      </w:tr>
      <w:tr w:rsidR="00F02F06" w:rsidRPr="00F02F06" w:rsidTr="00FA5169">
        <w:tc>
          <w:tcPr>
            <w:tcW w:w="1540" w:type="dxa"/>
            <w:tcBorders>
              <w:top w:val="single" w:sz="8" w:space="0" w:color="FFFFFF"/>
              <w:left w:val="single" w:sz="8" w:space="0" w:color="FFFFFF"/>
              <w:bottom w:val="single" w:sz="8" w:space="0" w:color="FFFFFF"/>
              <w:right w:val="single" w:sz="24" w:space="0" w:color="FFFFFF"/>
            </w:tcBorders>
            <w:shd w:val="clear" w:color="auto" w:fill="9BBB59"/>
          </w:tcPr>
          <w:p w:rsidR="00F02F06" w:rsidRPr="00F02F06" w:rsidRDefault="00F02F06" w:rsidP="00FA5169">
            <w:pPr>
              <w:jc w:val="center"/>
              <w:rPr>
                <w:rFonts w:asciiTheme="majorHAnsi" w:hAnsiTheme="majorHAnsi"/>
                <w:b/>
                <w:bCs/>
                <w:color w:val="FFFFFF"/>
                <w:sz w:val="24"/>
                <w:szCs w:val="24"/>
              </w:rPr>
            </w:pPr>
            <w:r w:rsidRPr="00F02F06">
              <w:rPr>
                <w:rFonts w:asciiTheme="majorHAnsi" w:hAnsiTheme="majorHAnsi"/>
                <w:b/>
                <w:bCs/>
                <w:color w:val="FFFFFF"/>
                <w:sz w:val="24"/>
                <w:szCs w:val="24"/>
              </w:rPr>
              <w:t>2007</w:t>
            </w:r>
          </w:p>
        </w:tc>
        <w:tc>
          <w:tcPr>
            <w:tcW w:w="1540" w:type="dxa"/>
            <w:tcBorders>
              <w:top w:val="single" w:sz="8" w:space="0" w:color="FFFFFF"/>
              <w:left w:val="single" w:sz="8" w:space="0" w:color="FFFFFF"/>
              <w:bottom w:val="single" w:sz="8" w:space="0" w:color="FFFFFF"/>
              <w:right w:val="single" w:sz="8" w:space="0" w:color="FFFFFF"/>
            </w:tcBorders>
            <w:shd w:val="clear" w:color="auto" w:fill="CDDDAC"/>
          </w:tcPr>
          <w:p w:rsidR="00F02F06" w:rsidRPr="00F02F06" w:rsidRDefault="00F02F06" w:rsidP="00FA5169">
            <w:pPr>
              <w:jc w:val="center"/>
              <w:rPr>
                <w:rFonts w:asciiTheme="majorHAnsi" w:hAnsiTheme="majorHAnsi"/>
                <w:sz w:val="24"/>
                <w:szCs w:val="24"/>
              </w:rPr>
            </w:pPr>
            <w:r w:rsidRPr="00F02F06">
              <w:rPr>
                <w:rFonts w:asciiTheme="majorHAnsi" w:hAnsiTheme="majorHAnsi"/>
                <w:sz w:val="24"/>
                <w:szCs w:val="24"/>
              </w:rPr>
              <w:t>Significant</w:t>
            </w:r>
          </w:p>
          <w:p w:rsidR="00F02F06" w:rsidRPr="00F02F06" w:rsidRDefault="00F02F06" w:rsidP="00FA5169">
            <w:pPr>
              <w:jc w:val="center"/>
              <w:rPr>
                <w:rFonts w:asciiTheme="majorHAnsi" w:hAnsiTheme="majorHAnsi"/>
                <w:sz w:val="24"/>
                <w:szCs w:val="24"/>
              </w:rPr>
            </w:pPr>
          </w:p>
        </w:tc>
        <w:tc>
          <w:tcPr>
            <w:tcW w:w="1540" w:type="dxa"/>
            <w:tcBorders>
              <w:top w:val="single" w:sz="8" w:space="0" w:color="FFFFFF"/>
              <w:left w:val="single" w:sz="8" w:space="0" w:color="FFFFFF"/>
              <w:bottom w:val="single" w:sz="8" w:space="0" w:color="FFFFFF"/>
              <w:right w:val="single" w:sz="8" w:space="0" w:color="FFFFFF"/>
            </w:tcBorders>
            <w:shd w:val="clear" w:color="auto" w:fill="CDDDAC"/>
          </w:tcPr>
          <w:p w:rsidR="00F02F06" w:rsidRPr="00F02F06" w:rsidRDefault="00F02F06" w:rsidP="00FA5169">
            <w:pPr>
              <w:jc w:val="center"/>
              <w:rPr>
                <w:rFonts w:asciiTheme="majorHAnsi" w:hAnsiTheme="majorHAnsi"/>
                <w:sz w:val="24"/>
                <w:szCs w:val="24"/>
              </w:rPr>
            </w:pPr>
            <w:r w:rsidRPr="00F02F06">
              <w:rPr>
                <w:rFonts w:asciiTheme="majorHAnsi" w:hAnsiTheme="majorHAnsi"/>
                <w:sz w:val="24"/>
                <w:szCs w:val="24"/>
              </w:rPr>
              <w:t>Not Significant</w:t>
            </w:r>
          </w:p>
          <w:p w:rsidR="00F02F06" w:rsidRPr="00F02F06" w:rsidRDefault="00F02F06" w:rsidP="00FA5169">
            <w:pPr>
              <w:jc w:val="center"/>
              <w:rPr>
                <w:rFonts w:asciiTheme="majorHAnsi" w:hAnsiTheme="majorHAnsi"/>
                <w:sz w:val="24"/>
                <w:szCs w:val="24"/>
              </w:rPr>
            </w:pPr>
          </w:p>
        </w:tc>
        <w:tc>
          <w:tcPr>
            <w:tcW w:w="1541" w:type="dxa"/>
            <w:tcBorders>
              <w:top w:val="single" w:sz="8" w:space="0" w:color="FFFFFF"/>
              <w:left w:val="single" w:sz="8" w:space="0" w:color="FFFFFF"/>
              <w:bottom w:val="single" w:sz="8" w:space="0" w:color="FFFFFF"/>
              <w:right w:val="single" w:sz="8" w:space="0" w:color="FFFFFF"/>
            </w:tcBorders>
            <w:shd w:val="clear" w:color="auto" w:fill="CDDDAC"/>
          </w:tcPr>
          <w:p w:rsidR="00F02F06" w:rsidRPr="00F02F06" w:rsidRDefault="00F02F06" w:rsidP="00FA5169">
            <w:pPr>
              <w:jc w:val="center"/>
              <w:rPr>
                <w:rFonts w:asciiTheme="majorHAnsi" w:hAnsiTheme="majorHAnsi"/>
                <w:sz w:val="24"/>
                <w:szCs w:val="24"/>
              </w:rPr>
            </w:pPr>
            <w:r w:rsidRPr="00F02F06">
              <w:rPr>
                <w:rFonts w:asciiTheme="majorHAnsi" w:hAnsiTheme="majorHAnsi"/>
                <w:sz w:val="24"/>
                <w:szCs w:val="24"/>
              </w:rPr>
              <w:t>Significant</w:t>
            </w:r>
          </w:p>
          <w:p w:rsidR="00F02F06" w:rsidRPr="00F02F06" w:rsidRDefault="00F02F06" w:rsidP="00FA5169">
            <w:pPr>
              <w:jc w:val="center"/>
              <w:rPr>
                <w:rFonts w:asciiTheme="majorHAnsi" w:hAnsiTheme="majorHAnsi"/>
                <w:sz w:val="24"/>
                <w:szCs w:val="24"/>
              </w:rPr>
            </w:pPr>
          </w:p>
        </w:tc>
        <w:tc>
          <w:tcPr>
            <w:tcW w:w="1541" w:type="dxa"/>
            <w:tcBorders>
              <w:top w:val="single" w:sz="8" w:space="0" w:color="FFFFFF"/>
              <w:left w:val="single" w:sz="8" w:space="0" w:color="FFFFFF"/>
              <w:bottom w:val="single" w:sz="8" w:space="0" w:color="FFFFFF"/>
              <w:right w:val="single" w:sz="8" w:space="0" w:color="FFFFFF"/>
            </w:tcBorders>
            <w:shd w:val="clear" w:color="auto" w:fill="CDDDAC"/>
          </w:tcPr>
          <w:p w:rsidR="00F02F06" w:rsidRPr="00F02F06" w:rsidRDefault="00F02F06" w:rsidP="00FA5169">
            <w:pPr>
              <w:jc w:val="center"/>
              <w:rPr>
                <w:rFonts w:asciiTheme="majorHAnsi" w:hAnsiTheme="majorHAnsi"/>
                <w:sz w:val="24"/>
                <w:szCs w:val="24"/>
              </w:rPr>
            </w:pPr>
            <w:r w:rsidRPr="00F02F06">
              <w:rPr>
                <w:rFonts w:asciiTheme="majorHAnsi" w:hAnsiTheme="majorHAnsi"/>
                <w:sz w:val="24"/>
                <w:szCs w:val="24"/>
              </w:rPr>
              <w:t>Significant</w:t>
            </w:r>
          </w:p>
          <w:p w:rsidR="00F02F06" w:rsidRPr="00F02F06" w:rsidRDefault="00F02F06" w:rsidP="00FA5169">
            <w:pPr>
              <w:jc w:val="center"/>
              <w:rPr>
                <w:rFonts w:asciiTheme="majorHAnsi" w:hAnsiTheme="majorHAnsi"/>
                <w:sz w:val="24"/>
                <w:szCs w:val="24"/>
              </w:rPr>
            </w:pPr>
          </w:p>
        </w:tc>
        <w:tc>
          <w:tcPr>
            <w:tcW w:w="1541" w:type="dxa"/>
            <w:tcBorders>
              <w:top w:val="single" w:sz="8" w:space="0" w:color="FFFFFF"/>
              <w:left w:val="single" w:sz="8" w:space="0" w:color="FFFFFF"/>
              <w:bottom w:val="single" w:sz="8" w:space="0" w:color="FFFFFF"/>
              <w:right w:val="single" w:sz="8" w:space="0" w:color="FFFFFF"/>
            </w:tcBorders>
            <w:shd w:val="clear" w:color="auto" w:fill="CDDDAC"/>
          </w:tcPr>
          <w:p w:rsidR="00F02F06" w:rsidRPr="00F02F06" w:rsidRDefault="00F02F06" w:rsidP="00FA5169">
            <w:pPr>
              <w:jc w:val="center"/>
              <w:rPr>
                <w:rFonts w:asciiTheme="majorHAnsi" w:hAnsiTheme="majorHAnsi"/>
                <w:sz w:val="24"/>
                <w:szCs w:val="24"/>
              </w:rPr>
            </w:pPr>
            <w:r w:rsidRPr="00F02F06">
              <w:rPr>
                <w:rFonts w:asciiTheme="majorHAnsi" w:hAnsiTheme="majorHAnsi"/>
                <w:sz w:val="24"/>
                <w:szCs w:val="24"/>
              </w:rPr>
              <w:t>----</w:t>
            </w:r>
          </w:p>
        </w:tc>
      </w:tr>
    </w:tbl>
    <w:p w:rsidR="00F02F06" w:rsidRPr="00F02F06" w:rsidRDefault="00F02F06" w:rsidP="00F02F06">
      <w:pPr>
        <w:jc w:val="both"/>
        <w:rPr>
          <w:rFonts w:asciiTheme="majorHAnsi" w:hAnsiTheme="majorHAnsi"/>
          <w:sz w:val="24"/>
          <w:szCs w:val="24"/>
        </w:rPr>
      </w:pPr>
      <w:r w:rsidRPr="00F02F06">
        <w:rPr>
          <w:rFonts w:asciiTheme="majorHAnsi" w:hAnsiTheme="majorHAnsi"/>
          <w:sz w:val="24"/>
          <w:szCs w:val="24"/>
        </w:rPr>
        <w:t xml:space="preserve">Note: for detailed workings, please see the annexure. </w:t>
      </w:r>
    </w:p>
    <w:p w:rsidR="00F02F06" w:rsidRPr="00F02F06" w:rsidRDefault="00F02F06" w:rsidP="00F02F06">
      <w:pPr>
        <w:jc w:val="both"/>
        <w:rPr>
          <w:rFonts w:asciiTheme="majorHAnsi" w:hAnsiTheme="majorHAnsi"/>
          <w:sz w:val="24"/>
          <w:szCs w:val="24"/>
        </w:rPr>
      </w:pPr>
    </w:p>
    <w:p w:rsidR="00F02F06" w:rsidRPr="00F02F06" w:rsidRDefault="00F02F06" w:rsidP="00F02F06">
      <w:pPr>
        <w:jc w:val="both"/>
        <w:rPr>
          <w:rFonts w:asciiTheme="majorHAnsi" w:hAnsiTheme="majorHAnsi"/>
          <w:sz w:val="24"/>
          <w:szCs w:val="24"/>
        </w:rPr>
      </w:pPr>
      <w:r w:rsidRPr="00F02F06">
        <w:rPr>
          <w:rFonts w:asciiTheme="majorHAnsi" w:hAnsiTheme="majorHAnsi"/>
          <w:sz w:val="24"/>
          <w:szCs w:val="24"/>
        </w:rPr>
        <w:t>From the above table we can see that the stock price movement of Bangas and its Dividend and EPS Declaration Date is significantly related for the year 2007 and 2008. But in 2009 the relation was not significant.</w:t>
      </w:r>
    </w:p>
    <w:p w:rsidR="00F02F06" w:rsidRPr="00F02F06" w:rsidRDefault="00F02F06" w:rsidP="00F02F06">
      <w:pPr>
        <w:jc w:val="both"/>
        <w:rPr>
          <w:rFonts w:asciiTheme="majorHAnsi" w:hAnsiTheme="majorHAnsi"/>
          <w:sz w:val="24"/>
          <w:szCs w:val="24"/>
        </w:rPr>
      </w:pPr>
      <w:r w:rsidRPr="00F02F06">
        <w:rPr>
          <w:rFonts w:asciiTheme="majorHAnsi" w:hAnsiTheme="majorHAnsi"/>
          <w:sz w:val="24"/>
          <w:szCs w:val="24"/>
        </w:rPr>
        <w:t>Next we see that the Stock price movement and the Record Date for the company have no significance at all for all the three years.</w:t>
      </w:r>
    </w:p>
    <w:p w:rsidR="00F02F06" w:rsidRPr="00F02F06" w:rsidRDefault="00F02F06" w:rsidP="00F02F06">
      <w:pPr>
        <w:jc w:val="both"/>
        <w:rPr>
          <w:rFonts w:asciiTheme="majorHAnsi" w:hAnsiTheme="majorHAnsi"/>
          <w:sz w:val="24"/>
          <w:szCs w:val="24"/>
        </w:rPr>
      </w:pPr>
    </w:p>
    <w:p w:rsidR="00F02F06" w:rsidRPr="00F02F06" w:rsidRDefault="00F02F06" w:rsidP="00F02F06">
      <w:pPr>
        <w:jc w:val="both"/>
        <w:rPr>
          <w:rFonts w:asciiTheme="majorHAnsi" w:hAnsiTheme="majorHAnsi"/>
          <w:sz w:val="24"/>
          <w:szCs w:val="24"/>
        </w:rPr>
      </w:pPr>
      <w:r w:rsidRPr="00F02F06">
        <w:rPr>
          <w:rFonts w:asciiTheme="majorHAnsi" w:hAnsiTheme="majorHAnsi"/>
          <w:sz w:val="24"/>
          <w:szCs w:val="24"/>
        </w:rPr>
        <w:t>Next we have taken another independent variable “</w:t>
      </w:r>
      <w:r w:rsidRPr="00F02F06">
        <w:rPr>
          <w:rFonts w:asciiTheme="majorHAnsi" w:hAnsiTheme="majorHAnsi"/>
          <w:b/>
          <w:sz w:val="24"/>
          <w:szCs w:val="24"/>
        </w:rPr>
        <w:t>market capitalization</w:t>
      </w:r>
      <w:r w:rsidRPr="00F02F06">
        <w:rPr>
          <w:rFonts w:asciiTheme="majorHAnsi" w:hAnsiTheme="majorHAnsi"/>
          <w:sz w:val="24"/>
          <w:szCs w:val="24"/>
        </w:rPr>
        <w:t>” and here we see that the Market Capitalization and the stock price movement have significance for all the three years. That is, whenever the market capitalization increased, stock price of Bangas also increased and vice versa.</w:t>
      </w:r>
    </w:p>
    <w:p w:rsidR="00F02F06" w:rsidRPr="00F02F06" w:rsidRDefault="00F02F06" w:rsidP="00F02F06">
      <w:pPr>
        <w:jc w:val="both"/>
        <w:rPr>
          <w:rFonts w:asciiTheme="majorHAnsi" w:hAnsiTheme="majorHAnsi"/>
          <w:sz w:val="24"/>
          <w:szCs w:val="24"/>
        </w:rPr>
      </w:pPr>
    </w:p>
    <w:p w:rsidR="00F02F06" w:rsidRPr="00F02F06" w:rsidRDefault="00F02F06" w:rsidP="00F02F06">
      <w:pPr>
        <w:jc w:val="both"/>
        <w:rPr>
          <w:rFonts w:asciiTheme="majorHAnsi" w:hAnsiTheme="majorHAnsi"/>
          <w:sz w:val="24"/>
          <w:szCs w:val="24"/>
        </w:rPr>
      </w:pPr>
      <w:r w:rsidRPr="00F02F06">
        <w:rPr>
          <w:rFonts w:asciiTheme="majorHAnsi" w:hAnsiTheme="majorHAnsi"/>
          <w:sz w:val="24"/>
          <w:szCs w:val="24"/>
        </w:rPr>
        <w:lastRenderedPageBreak/>
        <w:t>The result is same with the “</w:t>
      </w:r>
      <w:r w:rsidRPr="00F02F06">
        <w:rPr>
          <w:rFonts w:asciiTheme="majorHAnsi" w:hAnsiTheme="majorHAnsi"/>
          <w:b/>
          <w:sz w:val="24"/>
          <w:szCs w:val="24"/>
        </w:rPr>
        <w:t>market turnover”</w:t>
      </w:r>
      <w:r w:rsidRPr="00F02F06">
        <w:rPr>
          <w:rFonts w:asciiTheme="majorHAnsi" w:hAnsiTheme="majorHAnsi"/>
          <w:sz w:val="24"/>
          <w:szCs w:val="24"/>
        </w:rPr>
        <w:t xml:space="preserve"> as well. The movement of market turnover is related to the movement of the stock price of Bangas.</w:t>
      </w:r>
    </w:p>
    <w:p w:rsidR="00F02F06" w:rsidRPr="00F02F06" w:rsidRDefault="00F02F06" w:rsidP="00F02F06">
      <w:pPr>
        <w:jc w:val="both"/>
        <w:rPr>
          <w:rFonts w:asciiTheme="majorHAnsi" w:hAnsiTheme="majorHAnsi"/>
          <w:sz w:val="24"/>
          <w:szCs w:val="24"/>
        </w:rPr>
      </w:pPr>
      <w:r w:rsidRPr="00F02F06">
        <w:rPr>
          <w:rFonts w:asciiTheme="majorHAnsi" w:hAnsiTheme="majorHAnsi"/>
          <w:sz w:val="24"/>
          <w:szCs w:val="24"/>
        </w:rPr>
        <w:t>So far we have found that the share price movement of Bangas was not related to the corporate decisions like Declaration Date and Record Date we may conclude that the unusual stock price movement is not due to the company specific news, rather it may be due to some external macroeconomic factor. The most important macroeconomic activity during that period was the General Election which took place on 29</w:t>
      </w:r>
      <w:r w:rsidRPr="00F02F06">
        <w:rPr>
          <w:rFonts w:asciiTheme="majorHAnsi" w:hAnsiTheme="majorHAnsi"/>
          <w:sz w:val="24"/>
          <w:szCs w:val="24"/>
          <w:vertAlign w:val="superscript"/>
        </w:rPr>
        <w:t>th</w:t>
      </w:r>
      <w:r w:rsidRPr="00F02F06">
        <w:rPr>
          <w:rFonts w:asciiTheme="majorHAnsi" w:hAnsiTheme="majorHAnsi"/>
          <w:sz w:val="24"/>
          <w:szCs w:val="24"/>
        </w:rPr>
        <w:t xml:space="preserve"> December 2008.</w:t>
      </w:r>
    </w:p>
    <w:p w:rsidR="00F02F06" w:rsidRPr="00F02F06" w:rsidRDefault="00F02F06" w:rsidP="00F02F06">
      <w:pPr>
        <w:jc w:val="both"/>
        <w:rPr>
          <w:rFonts w:asciiTheme="majorHAnsi" w:hAnsiTheme="majorHAnsi"/>
          <w:sz w:val="24"/>
          <w:szCs w:val="24"/>
        </w:rPr>
      </w:pPr>
      <w:r w:rsidRPr="00F02F06">
        <w:rPr>
          <w:rFonts w:asciiTheme="majorHAnsi" w:hAnsiTheme="majorHAnsi"/>
          <w:sz w:val="24"/>
          <w:szCs w:val="24"/>
        </w:rPr>
        <w:t>We have run a regression test to see if there was any relation between the share price movement of Bangas Limited and general election of Bangladesh and we have some evidence that the share price movement and the general election of 2009 was related.</w:t>
      </w:r>
    </w:p>
    <w:p w:rsidR="00F02F06" w:rsidRPr="00F02F06" w:rsidRDefault="00F02F06" w:rsidP="00F02F06">
      <w:pPr>
        <w:jc w:val="both"/>
        <w:rPr>
          <w:rFonts w:asciiTheme="majorHAnsi" w:hAnsiTheme="majorHAnsi"/>
          <w:sz w:val="24"/>
          <w:szCs w:val="24"/>
        </w:rPr>
      </w:pPr>
      <w:r w:rsidRPr="00F02F06">
        <w:rPr>
          <w:rFonts w:asciiTheme="majorHAnsi" w:hAnsiTheme="majorHAnsi"/>
          <w:sz w:val="24"/>
          <w:szCs w:val="24"/>
        </w:rPr>
        <w:t xml:space="preserve">For this purpose we have taken the share price of Bangas 40 days before and after the election and we see that there is a significance between these two. </w:t>
      </w:r>
    </w:p>
    <w:p w:rsidR="00F02F06" w:rsidRPr="00F02F06" w:rsidRDefault="00F02F06" w:rsidP="00F02F06">
      <w:pPr>
        <w:jc w:val="both"/>
        <w:rPr>
          <w:rFonts w:asciiTheme="majorHAnsi" w:hAnsiTheme="majorHAnsi"/>
          <w:sz w:val="24"/>
          <w:szCs w:val="24"/>
        </w:rPr>
      </w:pPr>
      <w:r w:rsidRPr="00F02F06">
        <w:rPr>
          <w:rFonts w:asciiTheme="majorHAnsi" w:hAnsiTheme="majorHAnsi"/>
          <w:sz w:val="24"/>
          <w:szCs w:val="24"/>
        </w:rPr>
        <w:t xml:space="preserve">Therefore, from the above analysis we may conclude that the share price movement of Bangas is significantly related to the market capitalization, market turnover and the general election of Bangladesh. </w:t>
      </w:r>
    </w:p>
    <w:p w:rsidR="00F02F06" w:rsidRPr="00F02F06" w:rsidRDefault="00F02F06" w:rsidP="00F02F06">
      <w:pPr>
        <w:jc w:val="both"/>
        <w:rPr>
          <w:rFonts w:asciiTheme="majorHAnsi" w:hAnsiTheme="majorHAnsi"/>
          <w:sz w:val="24"/>
          <w:szCs w:val="24"/>
        </w:rPr>
      </w:pPr>
      <w:r w:rsidRPr="00F02F06">
        <w:rPr>
          <w:rFonts w:asciiTheme="majorHAnsi" w:hAnsiTheme="majorHAnsi"/>
          <w:sz w:val="24"/>
          <w:szCs w:val="24"/>
        </w:rPr>
        <w:t>The relation between the market capitalization and market turnover may be related to the fact that Bangas is a healthy company and has investors trust, with an increase in market capitalization and market turnover, the price of Bangas also increase and decrease.</w:t>
      </w:r>
    </w:p>
    <w:p w:rsidR="00F02F06" w:rsidRPr="00F02F06" w:rsidRDefault="00F02F06" w:rsidP="00F02F06">
      <w:pPr>
        <w:jc w:val="both"/>
        <w:rPr>
          <w:rFonts w:asciiTheme="majorHAnsi" w:hAnsiTheme="majorHAnsi"/>
          <w:sz w:val="24"/>
          <w:szCs w:val="24"/>
        </w:rPr>
      </w:pPr>
      <w:r w:rsidRPr="00F02F06">
        <w:rPr>
          <w:rFonts w:asciiTheme="majorHAnsi" w:hAnsiTheme="majorHAnsi"/>
          <w:sz w:val="24"/>
          <w:szCs w:val="24"/>
        </w:rPr>
        <w:t>And for the general election, we may say that the investors like stable political government and they believe that the company will be benefited by the present government. Therefore, as the new Government was elected the share price of Bangas limited also increased.</w:t>
      </w:r>
    </w:p>
    <w:p w:rsidR="00F02F06" w:rsidRPr="00613554" w:rsidRDefault="00F02F06" w:rsidP="00F02F06">
      <w:pPr>
        <w:jc w:val="both"/>
        <w:rPr>
          <w:sz w:val="28"/>
          <w:szCs w:val="28"/>
        </w:rPr>
      </w:pPr>
    </w:p>
    <w:p w:rsidR="0066531E" w:rsidRDefault="0066531E" w:rsidP="00912431">
      <w:pPr>
        <w:rPr>
          <w:rFonts w:asciiTheme="majorHAnsi" w:hAnsiTheme="majorHAnsi"/>
          <w:sz w:val="24"/>
          <w:szCs w:val="24"/>
        </w:rPr>
      </w:pPr>
    </w:p>
    <w:p w:rsidR="00C76412" w:rsidRDefault="00C76412" w:rsidP="00912431">
      <w:pPr>
        <w:rPr>
          <w:rFonts w:asciiTheme="majorHAnsi" w:hAnsiTheme="majorHAnsi"/>
          <w:sz w:val="24"/>
          <w:szCs w:val="24"/>
        </w:rPr>
      </w:pPr>
    </w:p>
    <w:p w:rsidR="00C76412" w:rsidRDefault="00C76412" w:rsidP="00912431">
      <w:pPr>
        <w:rPr>
          <w:rFonts w:asciiTheme="majorHAnsi" w:hAnsiTheme="majorHAnsi"/>
          <w:sz w:val="24"/>
          <w:szCs w:val="24"/>
        </w:rPr>
      </w:pPr>
    </w:p>
    <w:p w:rsidR="00C76412" w:rsidRDefault="00C76412" w:rsidP="00912431">
      <w:pPr>
        <w:rPr>
          <w:rFonts w:asciiTheme="majorHAnsi" w:hAnsiTheme="majorHAnsi"/>
          <w:sz w:val="24"/>
          <w:szCs w:val="24"/>
        </w:rPr>
      </w:pPr>
    </w:p>
    <w:p w:rsidR="00C76412" w:rsidRDefault="00C76412" w:rsidP="00912431">
      <w:pPr>
        <w:rPr>
          <w:rFonts w:asciiTheme="majorHAnsi" w:hAnsiTheme="majorHAnsi"/>
          <w:sz w:val="24"/>
          <w:szCs w:val="24"/>
        </w:rPr>
      </w:pPr>
    </w:p>
    <w:p w:rsidR="00C76412" w:rsidRDefault="00C76412" w:rsidP="00912431">
      <w:pPr>
        <w:rPr>
          <w:rFonts w:asciiTheme="majorHAnsi" w:hAnsiTheme="majorHAnsi"/>
          <w:sz w:val="24"/>
          <w:szCs w:val="24"/>
        </w:rPr>
      </w:pPr>
    </w:p>
    <w:p w:rsidR="00C76412" w:rsidRDefault="00C76412" w:rsidP="00912431">
      <w:pPr>
        <w:rPr>
          <w:rFonts w:asciiTheme="majorHAnsi" w:hAnsiTheme="majorHAnsi"/>
          <w:sz w:val="24"/>
          <w:szCs w:val="24"/>
        </w:rPr>
      </w:pPr>
    </w:p>
    <w:p w:rsidR="00C76412" w:rsidRDefault="00C76412" w:rsidP="00912431">
      <w:pPr>
        <w:rPr>
          <w:rFonts w:asciiTheme="majorHAnsi" w:hAnsiTheme="majorHAnsi"/>
          <w:sz w:val="24"/>
          <w:szCs w:val="24"/>
        </w:rPr>
      </w:pPr>
    </w:p>
    <w:p w:rsidR="00C76412" w:rsidRPr="00625235" w:rsidRDefault="00C76412" w:rsidP="00C76412">
      <w:pPr>
        <w:spacing w:line="360" w:lineRule="auto"/>
        <w:rPr>
          <w:rFonts w:asciiTheme="majorHAnsi" w:hAnsiTheme="majorHAnsi"/>
          <w:b/>
          <w:shadow/>
          <w:sz w:val="36"/>
          <w:szCs w:val="36"/>
          <w:u w:val="single"/>
        </w:rPr>
      </w:pPr>
      <w:r w:rsidRPr="00625235">
        <w:rPr>
          <w:rFonts w:asciiTheme="majorHAnsi" w:hAnsiTheme="majorHAnsi"/>
          <w:b/>
          <w:shadow/>
          <w:sz w:val="36"/>
          <w:szCs w:val="36"/>
          <w:u w:val="single"/>
        </w:rPr>
        <w:lastRenderedPageBreak/>
        <w:t xml:space="preserve">Chapter 4                                                                     </w:t>
      </w:r>
    </w:p>
    <w:p w:rsidR="00C76412" w:rsidRPr="00CC1950" w:rsidRDefault="00C76412" w:rsidP="00C76412">
      <w:pPr>
        <w:spacing w:line="360" w:lineRule="auto"/>
        <w:rPr>
          <w:rFonts w:asciiTheme="majorHAnsi" w:hAnsiTheme="majorHAnsi"/>
          <w:b/>
          <w:shadow/>
          <w:sz w:val="24"/>
          <w:szCs w:val="24"/>
          <w:u w:val="single"/>
        </w:rPr>
      </w:pPr>
      <w:r w:rsidRPr="00CC1950">
        <w:rPr>
          <w:rFonts w:asciiTheme="majorHAnsi" w:hAnsiTheme="majorHAnsi"/>
          <w:b/>
          <w:shadow/>
          <w:sz w:val="24"/>
          <w:szCs w:val="24"/>
          <w:u w:val="single"/>
        </w:rPr>
        <w:t xml:space="preserve">Capital Investment Decision                                             </w:t>
      </w:r>
    </w:p>
    <w:p w:rsidR="00C76412" w:rsidRPr="00C76412" w:rsidRDefault="00C76412" w:rsidP="00C76412">
      <w:pPr>
        <w:spacing w:line="360" w:lineRule="auto"/>
        <w:rPr>
          <w:rFonts w:asciiTheme="majorHAnsi" w:hAnsiTheme="majorHAnsi"/>
          <w:sz w:val="24"/>
          <w:szCs w:val="24"/>
        </w:rPr>
      </w:pPr>
    </w:p>
    <w:p w:rsidR="00C76412" w:rsidRPr="00C76412" w:rsidRDefault="00C76412" w:rsidP="00C76412">
      <w:pPr>
        <w:spacing w:line="360" w:lineRule="auto"/>
        <w:jc w:val="both"/>
        <w:rPr>
          <w:rFonts w:asciiTheme="majorHAnsi" w:hAnsiTheme="majorHAnsi"/>
          <w:sz w:val="24"/>
          <w:szCs w:val="24"/>
        </w:rPr>
      </w:pPr>
      <w:r w:rsidRPr="00C76412">
        <w:rPr>
          <w:rFonts w:asciiTheme="majorHAnsi" w:hAnsiTheme="majorHAnsi"/>
          <w:sz w:val="24"/>
          <w:szCs w:val="24"/>
        </w:rPr>
        <w:t xml:space="preserve">The investment decision is one of the crucial decisions of modern business. Investments on assets can be many things like as buildings or machinery, patents, software and even in financial assets. Assets are used to perform and make sales for the company and earn profit. When deciding about investment decisions it’s important to calculate the NPV of the investment as well as the capital structure and also the cost of capital of the project. </w:t>
      </w:r>
    </w:p>
    <w:p w:rsidR="00C76412" w:rsidRPr="00C76412" w:rsidRDefault="00C76412" w:rsidP="00C76412">
      <w:pPr>
        <w:spacing w:line="360" w:lineRule="auto"/>
        <w:jc w:val="both"/>
        <w:rPr>
          <w:rFonts w:asciiTheme="majorHAnsi" w:hAnsiTheme="majorHAnsi"/>
          <w:sz w:val="24"/>
          <w:szCs w:val="24"/>
        </w:rPr>
      </w:pPr>
      <w:r w:rsidRPr="00C76412">
        <w:rPr>
          <w:rFonts w:asciiTheme="majorHAnsi" w:hAnsiTheme="majorHAnsi"/>
          <w:sz w:val="24"/>
          <w:szCs w:val="24"/>
        </w:rPr>
        <w:t>Now we assume that the firm will undertake New Product Development Program. In this consequence, BANGAS may launch a new Biscuit with a different ingredient by using a new machine costing Tk.5, 000,000.The new biscuit will meet the demand of Peanut Butter biscuit of the market. It also assumed that the product will become successful in the market after analyzing the whole prospective.</w:t>
      </w:r>
    </w:p>
    <w:p w:rsidR="00C76412" w:rsidRPr="00C76412" w:rsidRDefault="00C76412" w:rsidP="00C76412">
      <w:pPr>
        <w:spacing w:line="360" w:lineRule="auto"/>
        <w:jc w:val="both"/>
        <w:rPr>
          <w:rFonts w:asciiTheme="majorHAnsi" w:hAnsiTheme="majorHAnsi"/>
          <w:sz w:val="24"/>
          <w:szCs w:val="24"/>
        </w:rPr>
      </w:pPr>
      <w:r w:rsidRPr="00C76412">
        <w:rPr>
          <w:rFonts w:asciiTheme="majorHAnsi" w:hAnsiTheme="majorHAnsi"/>
          <w:sz w:val="24"/>
          <w:szCs w:val="24"/>
        </w:rPr>
        <w:t>The sales of the new product is based on hypothetically and it also follows a growth of sales in the following year at the company’s current sales growth rate. The variable costs of new production will be 60% of sales .The fixed costs of Tk.500, 000 which is assumed arbitrarily for the new product development.</w:t>
      </w:r>
    </w:p>
    <w:p w:rsidR="00C76412" w:rsidRPr="00C76412" w:rsidRDefault="00C76412" w:rsidP="00C76412">
      <w:pPr>
        <w:spacing w:line="360" w:lineRule="auto"/>
        <w:jc w:val="both"/>
        <w:rPr>
          <w:rFonts w:asciiTheme="majorHAnsi" w:hAnsiTheme="majorHAnsi"/>
          <w:sz w:val="24"/>
          <w:szCs w:val="24"/>
        </w:rPr>
      </w:pPr>
      <w:r w:rsidRPr="00C76412">
        <w:rPr>
          <w:rFonts w:asciiTheme="majorHAnsi" w:hAnsiTheme="majorHAnsi"/>
          <w:sz w:val="24"/>
          <w:szCs w:val="24"/>
        </w:rPr>
        <w:t>The life of the project will be five years and the company follows a straight line depreciation method. At the end of the project the salvage value of the machine will become zero.</w:t>
      </w:r>
    </w:p>
    <w:p w:rsidR="00C76412" w:rsidRPr="00C76412" w:rsidRDefault="00C76412" w:rsidP="00C76412">
      <w:pPr>
        <w:spacing w:line="360" w:lineRule="auto"/>
        <w:jc w:val="both"/>
        <w:rPr>
          <w:rFonts w:asciiTheme="majorHAnsi" w:hAnsiTheme="majorHAnsi"/>
          <w:sz w:val="24"/>
          <w:szCs w:val="24"/>
        </w:rPr>
      </w:pPr>
      <w:r w:rsidRPr="00C76412">
        <w:rPr>
          <w:rFonts w:asciiTheme="majorHAnsi" w:hAnsiTheme="majorHAnsi"/>
          <w:sz w:val="24"/>
          <w:szCs w:val="24"/>
        </w:rPr>
        <w:t>The cost of the capital for the project assumed to be 15% and the company needs to pay a corporate tax rate of 30% on income which was as before.</w:t>
      </w:r>
    </w:p>
    <w:p w:rsidR="00C76412" w:rsidRDefault="00C76412" w:rsidP="00C76412">
      <w:pPr>
        <w:spacing w:line="360" w:lineRule="auto"/>
      </w:pPr>
    </w:p>
    <w:p w:rsidR="00C76412" w:rsidRDefault="00C76412" w:rsidP="00C76412">
      <w:pPr>
        <w:spacing w:line="360" w:lineRule="auto"/>
      </w:pPr>
    </w:p>
    <w:p w:rsidR="00C76412" w:rsidRDefault="00C76412" w:rsidP="00C76412">
      <w:pPr>
        <w:spacing w:line="360" w:lineRule="auto"/>
      </w:pPr>
    </w:p>
    <w:p w:rsidR="00C76412" w:rsidRDefault="00C76412" w:rsidP="00C76412">
      <w:pPr>
        <w:spacing w:line="360" w:lineRule="auto"/>
      </w:pPr>
    </w:p>
    <w:p w:rsidR="00C76412" w:rsidRDefault="00C76412" w:rsidP="00C76412">
      <w:pPr>
        <w:spacing w:line="360" w:lineRule="auto"/>
      </w:pPr>
    </w:p>
    <w:p w:rsidR="00C76412" w:rsidRPr="00EC2269" w:rsidRDefault="00C76412" w:rsidP="00C76412">
      <w:pPr>
        <w:spacing w:line="360" w:lineRule="auto"/>
        <w:rPr>
          <w:sz w:val="28"/>
          <w:szCs w:val="28"/>
        </w:rPr>
      </w:pPr>
      <w:r>
        <w:rPr>
          <w:sz w:val="28"/>
          <w:szCs w:val="28"/>
        </w:rPr>
        <w:lastRenderedPageBreak/>
        <w:t xml:space="preserve">Table:-Pro-forma </w:t>
      </w:r>
      <w:r w:rsidRPr="00C9404D">
        <w:rPr>
          <w:sz w:val="28"/>
          <w:szCs w:val="28"/>
        </w:rPr>
        <w:t>Income Statement of the Project:</w:t>
      </w:r>
    </w:p>
    <w:tbl>
      <w:tblPr>
        <w:tblW w:w="10415" w:type="dxa"/>
        <w:jc w:val="center"/>
        <w:tblInd w:w="103" w:type="dxa"/>
        <w:tblLook w:val="04A0"/>
      </w:tblPr>
      <w:tblGrid>
        <w:gridCol w:w="1482"/>
        <w:gridCol w:w="1261"/>
        <w:gridCol w:w="1273"/>
        <w:gridCol w:w="1384"/>
        <w:gridCol w:w="1384"/>
        <w:gridCol w:w="1384"/>
        <w:gridCol w:w="1384"/>
        <w:gridCol w:w="1528"/>
      </w:tblGrid>
      <w:tr w:rsidR="00C76412" w:rsidRPr="00B5562D" w:rsidTr="00625235">
        <w:trPr>
          <w:trHeight w:val="256"/>
          <w:jc w:val="center"/>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b/>
                <w:bCs/>
                <w:sz w:val="20"/>
                <w:szCs w:val="20"/>
              </w:rPr>
            </w:pPr>
            <w:r w:rsidRPr="00B5562D">
              <w:rPr>
                <w:rFonts w:ascii="Arial" w:hAnsi="Arial" w:cs="Arial"/>
                <w:b/>
                <w:bCs/>
                <w:sz w:val="20"/>
                <w:szCs w:val="20"/>
              </w:rPr>
              <w:t>Particulars</w:t>
            </w:r>
          </w:p>
        </w:tc>
        <w:tc>
          <w:tcPr>
            <w:tcW w:w="7511" w:type="dxa"/>
            <w:gridSpan w:val="6"/>
            <w:tcBorders>
              <w:top w:val="single" w:sz="4" w:space="0" w:color="auto"/>
              <w:left w:val="nil"/>
              <w:bottom w:val="single" w:sz="4" w:space="0" w:color="auto"/>
              <w:right w:val="single" w:sz="4" w:space="0" w:color="auto"/>
            </w:tcBorders>
            <w:shd w:val="clear" w:color="auto" w:fill="auto"/>
            <w:noWrap/>
            <w:vAlign w:val="bottom"/>
            <w:hideMark/>
          </w:tcPr>
          <w:p w:rsidR="00C76412" w:rsidRPr="00B5562D" w:rsidRDefault="00C76412" w:rsidP="00FA5169">
            <w:pPr>
              <w:jc w:val="center"/>
              <w:rPr>
                <w:rFonts w:ascii="Arial" w:hAnsi="Arial" w:cs="Arial"/>
                <w:b/>
                <w:bCs/>
                <w:sz w:val="20"/>
                <w:szCs w:val="20"/>
              </w:rPr>
            </w:pPr>
            <w:r w:rsidRPr="00B5562D">
              <w:rPr>
                <w:rFonts w:ascii="Arial" w:hAnsi="Arial" w:cs="Arial"/>
                <w:b/>
                <w:bCs/>
                <w:sz w:val="20"/>
                <w:szCs w:val="20"/>
              </w:rPr>
              <w:t>Year</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b/>
                <w:bCs/>
                <w:sz w:val="20"/>
                <w:szCs w:val="20"/>
              </w:rPr>
            </w:pPr>
            <w:r w:rsidRPr="00B5562D">
              <w:rPr>
                <w:rFonts w:ascii="Arial" w:hAnsi="Arial" w:cs="Arial"/>
                <w:b/>
                <w:bCs/>
                <w:sz w:val="20"/>
                <w:szCs w:val="20"/>
              </w:rPr>
              <w:t>Remarks</w:t>
            </w:r>
          </w:p>
        </w:tc>
      </w:tr>
      <w:tr w:rsidR="00C76412" w:rsidRPr="00B5562D" w:rsidTr="00625235">
        <w:trPr>
          <w:trHeight w:val="256"/>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c>
          <w:tcPr>
            <w:tcW w:w="1174"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20</w:t>
            </w:r>
            <w:r>
              <w:rPr>
                <w:rFonts w:ascii="Arial" w:hAnsi="Arial" w:cs="Arial"/>
                <w:sz w:val="20"/>
                <w:szCs w:val="20"/>
              </w:rPr>
              <w:t>10</w:t>
            </w:r>
          </w:p>
        </w:tc>
        <w:tc>
          <w:tcPr>
            <w:tcW w:w="1185"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201</w:t>
            </w:r>
            <w:r>
              <w:rPr>
                <w:rFonts w:ascii="Arial" w:hAnsi="Arial" w:cs="Arial"/>
                <w:sz w:val="20"/>
                <w:szCs w:val="20"/>
              </w:rPr>
              <w:t>1</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201</w:t>
            </w:r>
            <w:r>
              <w:rPr>
                <w:rFonts w:ascii="Arial" w:hAnsi="Arial" w:cs="Arial"/>
                <w:sz w:val="20"/>
                <w:szCs w:val="20"/>
              </w:rPr>
              <w:t>2</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201</w:t>
            </w:r>
            <w:r>
              <w:rPr>
                <w:rFonts w:ascii="Arial" w:hAnsi="Arial" w:cs="Arial"/>
                <w:sz w:val="20"/>
                <w:szCs w:val="20"/>
              </w:rPr>
              <w:t>3</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201</w:t>
            </w:r>
            <w:r>
              <w:rPr>
                <w:rFonts w:ascii="Arial" w:hAnsi="Arial" w:cs="Arial"/>
                <w:sz w:val="20"/>
                <w:szCs w:val="20"/>
              </w:rPr>
              <w:t>4</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201</w:t>
            </w:r>
            <w:r>
              <w:rPr>
                <w:rFonts w:ascii="Arial" w:hAnsi="Arial" w:cs="Arial"/>
                <w:sz w:val="20"/>
                <w:szCs w:val="20"/>
              </w:rPr>
              <w:t>5</w:t>
            </w:r>
          </w:p>
        </w:tc>
        <w:tc>
          <w:tcPr>
            <w:tcW w:w="1422"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r>
      <w:tr w:rsidR="00C76412" w:rsidRPr="00B5562D" w:rsidTr="00625235">
        <w:trPr>
          <w:trHeight w:val="256"/>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c>
          <w:tcPr>
            <w:tcW w:w="1174"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Assumption</w:t>
            </w:r>
          </w:p>
        </w:tc>
        <w:tc>
          <w:tcPr>
            <w:tcW w:w="1185"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r>
      <w:tr w:rsidR="00C76412" w:rsidRPr="00B5562D" w:rsidTr="00625235">
        <w:trPr>
          <w:trHeight w:val="256"/>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Investment</w:t>
            </w:r>
          </w:p>
        </w:tc>
        <w:tc>
          <w:tcPr>
            <w:tcW w:w="1174"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5,000,000</w:t>
            </w:r>
          </w:p>
        </w:tc>
        <w:tc>
          <w:tcPr>
            <w:tcW w:w="1185"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r>
      <w:tr w:rsidR="00C76412" w:rsidRPr="00B5562D" w:rsidTr="00625235">
        <w:trPr>
          <w:trHeight w:val="256"/>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xml:space="preserve">Net Sales </w:t>
            </w:r>
          </w:p>
        </w:tc>
        <w:tc>
          <w:tcPr>
            <w:tcW w:w="1174"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10,000,000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10,750,000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11,556,250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12,422,969</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13,354,691</w:t>
            </w:r>
          </w:p>
        </w:tc>
        <w:tc>
          <w:tcPr>
            <w:tcW w:w="1422"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increases7.5%</w:t>
            </w:r>
          </w:p>
        </w:tc>
      </w:tr>
      <w:tr w:rsidR="00C76412" w:rsidRPr="00B5562D" w:rsidTr="00625235">
        <w:trPr>
          <w:trHeight w:val="256"/>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Variables Cost</w:t>
            </w:r>
          </w:p>
        </w:tc>
        <w:tc>
          <w:tcPr>
            <w:tcW w:w="1174"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6,000,000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6,450,000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6,933,750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7,453,781</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8,012,815</w:t>
            </w:r>
          </w:p>
        </w:tc>
        <w:tc>
          <w:tcPr>
            <w:tcW w:w="1422"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Pr>
                <w:rFonts w:ascii="Arial" w:hAnsi="Arial" w:cs="Arial"/>
                <w:sz w:val="20"/>
                <w:szCs w:val="20"/>
              </w:rPr>
              <w:t>6</w:t>
            </w:r>
            <w:r w:rsidRPr="00B5562D">
              <w:rPr>
                <w:rFonts w:ascii="Arial" w:hAnsi="Arial" w:cs="Arial"/>
                <w:sz w:val="20"/>
                <w:szCs w:val="20"/>
              </w:rPr>
              <w:t>0% of Sales</w:t>
            </w:r>
          </w:p>
        </w:tc>
      </w:tr>
      <w:tr w:rsidR="00C76412" w:rsidRPr="00B5562D" w:rsidTr="00625235">
        <w:trPr>
          <w:trHeight w:val="256"/>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Fixed Cost</w:t>
            </w:r>
          </w:p>
        </w:tc>
        <w:tc>
          <w:tcPr>
            <w:tcW w:w="1174"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500,000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500,000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500,000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500,000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500,000</w:t>
            </w:r>
          </w:p>
        </w:tc>
        <w:tc>
          <w:tcPr>
            <w:tcW w:w="1422"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r>
      <w:tr w:rsidR="00C76412" w:rsidRPr="00B5562D" w:rsidTr="00625235">
        <w:trPr>
          <w:trHeight w:val="256"/>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EBITDA</w:t>
            </w:r>
          </w:p>
        </w:tc>
        <w:tc>
          <w:tcPr>
            <w:tcW w:w="1174"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3,500,000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3,800,000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4,122,500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4,469,188</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4,841,877</w:t>
            </w:r>
          </w:p>
        </w:tc>
        <w:tc>
          <w:tcPr>
            <w:tcW w:w="1422"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r>
      <w:tr w:rsidR="00C76412" w:rsidRPr="00B5562D" w:rsidTr="00625235">
        <w:trPr>
          <w:trHeight w:val="256"/>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Less: Depreciation</w:t>
            </w:r>
          </w:p>
        </w:tc>
        <w:tc>
          <w:tcPr>
            <w:tcW w:w="1174"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1,000,000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1,000,000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1,000,000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1,000,000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1,000,000</w:t>
            </w:r>
          </w:p>
        </w:tc>
        <w:tc>
          <w:tcPr>
            <w:tcW w:w="1422"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5000000/5</w:t>
            </w:r>
          </w:p>
        </w:tc>
      </w:tr>
      <w:tr w:rsidR="00C76412" w:rsidRPr="00B5562D" w:rsidTr="00625235">
        <w:trPr>
          <w:trHeight w:val="256"/>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EBIT</w:t>
            </w:r>
          </w:p>
        </w:tc>
        <w:tc>
          <w:tcPr>
            <w:tcW w:w="1174"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2,500,000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2,800,000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3,122,500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3,469,188</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3,841,877</w:t>
            </w:r>
          </w:p>
        </w:tc>
        <w:tc>
          <w:tcPr>
            <w:tcW w:w="1422"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r>
      <w:tr w:rsidR="00C76412" w:rsidRPr="00B5562D" w:rsidTr="00625235">
        <w:trPr>
          <w:trHeight w:val="256"/>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C76412" w:rsidRPr="00B5562D" w:rsidRDefault="002A20DB" w:rsidP="00FA5169">
            <w:pPr>
              <w:rPr>
                <w:rFonts w:ascii="Arial" w:hAnsi="Arial" w:cs="Arial"/>
                <w:color w:val="0000FF"/>
                <w:sz w:val="20"/>
                <w:szCs w:val="20"/>
                <w:u w:val="single"/>
              </w:rPr>
            </w:pPr>
            <w:hyperlink r:id="rId26" w:history="1">
              <w:r w:rsidR="00C76412" w:rsidRPr="00B5562D">
                <w:rPr>
                  <w:rFonts w:ascii="Arial" w:hAnsi="Arial" w:cs="Arial"/>
                  <w:color w:val="0000FF"/>
                  <w:sz w:val="20"/>
                  <w:u w:val="single"/>
                </w:rPr>
                <w:t>Tax@30%</w:t>
              </w:r>
            </w:hyperlink>
          </w:p>
        </w:tc>
        <w:tc>
          <w:tcPr>
            <w:tcW w:w="1174"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750,000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840,000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936,750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1,040,756</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1,152,563</w:t>
            </w:r>
          </w:p>
        </w:tc>
        <w:tc>
          <w:tcPr>
            <w:tcW w:w="1422"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r>
      <w:tr w:rsidR="00C76412" w:rsidRPr="00B5562D" w:rsidTr="00625235">
        <w:trPr>
          <w:trHeight w:val="256"/>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Net Income</w:t>
            </w:r>
          </w:p>
        </w:tc>
        <w:tc>
          <w:tcPr>
            <w:tcW w:w="1174"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1,750,000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1,960,000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2,185,750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2,428,431</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2,689,314</w:t>
            </w:r>
          </w:p>
        </w:tc>
        <w:tc>
          <w:tcPr>
            <w:tcW w:w="1422"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r>
      <w:tr w:rsidR="00C76412" w:rsidRPr="00B5562D" w:rsidTr="00625235">
        <w:trPr>
          <w:trHeight w:val="256"/>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Add: Depreciation</w:t>
            </w:r>
          </w:p>
        </w:tc>
        <w:tc>
          <w:tcPr>
            <w:tcW w:w="1174"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1,000,000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1,000,000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1,000,000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1,000,000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1,000,000</w:t>
            </w:r>
          </w:p>
        </w:tc>
        <w:tc>
          <w:tcPr>
            <w:tcW w:w="1422"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r>
      <w:tr w:rsidR="00C76412" w:rsidRPr="00B5562D" w:rsidTr="00625235">
        <w:trPr>
          <w:trHeight w:val="256"/>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Cash Flow</w:t>
            </w:r>
          </w:p>
        </w:tc>
        <w:tc>
          <w:tcPr>
            <w:tcW w:w="1174"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2,750,000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2,960,000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3,185,750</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3,428,431</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3,689,314</w:t>
            </w:r>
          </w:p>
        </w:tc>
        <w:tc>
          <w:tcPr>
            <w:tcW w:w="1422"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r>
      <w:tr w:rsidR="00C76412" w:rsidRPr="00B5562D" w:rsidTr="00625235">
        <w:trPr>
          <w:trHeight w:val="256"/>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PV of Cash Flow</w:t>
            </w:r>
          </w:p>
        </w:tc>
        <w:tc>
          <w:tcPr>
            <w:tcW w:w="1174"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-5000000</w:t>
            </w:r>
          </w:p>
        </w:tc>
        <w:tc>
          <w:tcPr>
            <w:tcW w:w="1185"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2391304.35</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2238185.255</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2094682.337</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1960216.694</w:t>
            </w:r>
          </w:p>
        </w:tc>
        <w:tc>
          <w:tcPr>
            <w:tcW w:w="1288"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jc w:val="right"/>
              <w:rPr>
                <w:rFonts w:ascii="Arial" w:hAnsi="Arial" w:cs="Arial"/>
                <w:sz w:val="20"/>
                <w:szCs w:val="20"/>
              </w:rPr>
            </w:pPr>
            <w:r w:rsidRPr="00B5562D">
              <w:rPr>
                <w:rFonts w:ascii="Arial" w:hAnsi="Arial" w:cs="Arial"/>
                <w:sz w:val="20"/>
                <w:szCs w:val="20"/>
              </w:rPr>
              <w:t>1834240.888</w:t>
            </w:r>
          </w:p>
        </w:tc>
        <w:tc>
          <w:tcPr>
            <w:tcW w:w="1422" w:type="dxa"/>
            <w:tcBorders>
              <w:top w:val="nil"/>
              <w:left w:val="nil"/>
              <w:bottom w:val="single" w:sz="4" w:space="0" w:color="auto"/>
              <w:right w:val="single" w:sz="4" w:space="0" w:color="auto"/>
            </w:tcBorders>
            <w:shd w:val="clear" w:color="auto" w:fill="auto"/>
            <w:noWrap/>
            <w:vAlign w:val="bottom"/>
            <w:hideMark/>
          </w:tcPr>
          <w:p w:rsidR="00C76412" w:rsidRPr="00B5562D" w:rsidRDefault="00C76412" w:rsidP="00FA5169">
            <w:pPr>
              <w:rPr>
                <w:rFonts w:ascii="Arial" w:hAnsi="Arial" w:cs="Arial"/>
                <w:sz w:val="20"/>
                <w:szCs w:val="20"/>
              </w:rPr>
            </w:pPr>
            <w:r w:rsidRPr="00B5562D">
              <w:rPr>
                <w:rFonts w:ascii="Arial" w:hAnsi="Arial" w:cs="Arial"/>
                <w:sz w:val="20"/>
                <w:szCs w:val="20"/>
              </w:rPr>
              <w:t> </w:t>
            </w:r>
          </w:p>
        </w:tc>
      </w:tr>
    </w:tbl>
    <w:p w:rsidR="00C76412" w:rsidRPr="00C76412" w:rsidRDefault="00C76412" w:rsidP="00C76412">
      <w:pPr>
        <w:spacing w:line="360" w:lineRule="auto"/>
        <w:rPr>
          <w:rFonts w:asciiTheme="majorHAnsi" w:hAnsiTheme="majorHAnsi" w:cs="Times New Roman"/>
          <w:sz w:val="24"/>
          <w:szCs w:val="24"/>
        </w:rPr>
      </w:pPr>
      <w:r w:rsidRPr="00C76412">
        <w:rPr>
          <w:rFonts w:asciiTheme="majorHAnsi" w:hAnsiTheme="majorHAnsi" w:cs="Times New Roman"/>
          <w:sz w:val="24"/>
          <w:szCs w:val="24"/>
        </w:rPr>
        <w:t>NPV</w:t>
      </w:r>
      <w:r w:rsidRPr="00C76412">
        <w:rPr>
          <w:rFonts w:asciiTheme="majorHAnsi" w:hAnsiTheme="majorHAnsi" w:cs="Times New Roman"/>
          <w:sz w:val="24"/>
          <w:szCs w:val="24"/>
          <w:vertAlign w:val="subscript"/>
        </w:rPr>
        <w:t>2010</w:t>
      </w:r>
      <w:r w:rsidRPr="00C76412">
        <w:rPr>
          <w:rFonts w:asciiTheme="majorHAnsi" w:hAnsiTheme="majorHAnsi" w:cs="Times New Roman"/>
          <w:sz w:val="24"/>
          <w:szCs w:val="24"/>
        </w:rPr>
        <w:t xml:space="preserve"> =5,518,630</w:t>
      </w:r>
    </w:p>
    <w:p w:rsidR="00C76412" w:rsidRPr="00C76412" w:rsidRDefault="00C76412" w:rsidP="00C76412">
      <w:pPr>
        <w:spacing w:line="360" w:lineRule="auto"/>
        <w:rPr>
          <w:rFonts w:asciiTheme="majorHAnsi" w:hAnsiTheme="majorHAnsi" w:cs="Times New Roman"/>
          <w:sz w:val="24"/>
          <w:szCs w:val="24"/>
        </w:rPr>
      </w:pPr>
      <w:r w:rsidRPr="00C76412">
        <w:rPr>
          <w:rFonts w:asciiTheme="majorHAnsi" w:hAnsiTheme="majorHAnsi" w:cs="Times New Roman"/>
          <w:b/>
          <w:sz w:val="24"/>
          <w:szCs w:val="24"/>
        </w:rPr>
        <w:t>So, the NPV of the project is 5,518,630 Tk.</w:t>
      </w:r>
    </w:p>
    <w:p w:rsidR="00C76412" w:rsidRPr="00C76412" w:rsidRDefault="00C76412" w:rsidP="00C76412">
      <w:pPr>
        <w:spacing w:line="360" w:lineRule="auto"/>
        <w:rPr>
          <w:rFonts w:asciiTheme="majorHAnsi" w:hAnsiTheme="majorHAnsi" w:cs="Times New Roman"/>
          <w:sz w:val="24"/>
          <w:szCs w:val="24"/>
        </w:rPr>
      </w:pPr>
      <w:r w:rsidRPr="00C76412">
        <w:rPr>
          <w:rFonts w:asciiTheme="majorHAnsi" w:hAnsiTheme="majorHAnsi" w:cs="Times New Roman"/>
          <w:b/>
          <w:sz w:val="24"/>
          <w:szCs w:val="24"/>
        </w:rPr>
        <w:t>New share price</w:t>
      </w:r>
      <w:r w:rsidRPr="00C76412">
        <w:rPr>
          <w:rFonts w:asciiTheme="majorHAnsi" w:hAnsiTheme="majorHAnsi" w:cs="Times New Roman"/>
          <w:sz w:val="24"/>
          <w:szCs w:val="24"/>
        </w:rPr>
        <w:tab/>
        <w:t>= (Current Capitalization + NPV of the project) / shares outstanding</w:t>
      </w:r>
    </w:p>
    <w:p w:rsidR="00C76412" w:rsidRPr="00C76412" w:rsidRDefault="00C76412" w:rsidP="00C76412">
      <w:pPr>
        <w:spacing w:line="360" w:lineRule="auto"/>
        <w:ind w:left="2160"/>
        <w:rPr>
          <w:rFonts w:asciiTheme="majorHAnsi" w:hAnsiTheme="majorHAnsi" w:cs="Times New Roman"/>
          <w:sz w:val="24"/>
          <w:szCs w:val="24"/>
        </w:rPr>
      </w:pPr>
      <w:r w:rsidRPr="00C76412">
        <w:rPr>
          <w:rFonts w:asciiTheme="majorHAnsi" w:hAnsiTheme="majorHAnsi" w:cs="Times New Roman"/>
          <w:sz w:val="24"/>
          <w:szCs w:val="24"/>
        </w:rPr>
        <w:t>= (market price per share on the last day of 2009 * shares outstanding +NPV) / shares outstanding</w:t>
      </w:r>
    </w:p>
    <w:p w:rsidR="00C76412" w:rsidRDefault="00C76412" w:rsidP="00C76412">
      <w:pPr>
        <w:spacing w:line="360" w:lineRule="auto"/>
        <w:ind w:left="2160"/>
        <w:rPr>
          <w:rFonts w:asciiTheme="majorHAnsi" w:hAnsiTheme="majorHAnsi" w:cs="Times New Roman"/>
          <w:sz w:val="24"/>
          <w:szCs w:val="24"/>
        </w:rPr>
      </w:pPr>
      <w:r w:rsidRPr="00C76412">
        <w:rPr>
          <w:rFonts w:asciiTheme="majorHAnsi" w:hAnsiTheme="majorHAnsi" w:cs="Times New Roman"/>
          <w:sz w:val="24"/>
          <w:szCs w:val="24"/>
        </w:rPr>
        <w:t>= (1669.75*90,000 + 5,518,630) / 90,000</w:t>
      </w:r>
    </w:p>
    <w:p w:rsidR="00C76412" w:rsidRPr="00C76412" w:rsidRDefault="00C76412" w:rsidP="00C76412">
      <w:pPr>
        <w:spacing w:line="360" w:lineRule="auto"/>
        <w:rPr>
          <w:rFonts w:asciiTheme="majorHAnsi" w:hAnsiTheme="majorHAnsi" w:cs="Times New Roman"/>
          <w:sz w:val="24"/>
          <w:szCs w:val="24"/>
        </w:rPr>
      </w:pPr>
      <w:r>
        <w:rPr>
          <w:rFonts w:asciiTheme="majorHAnsi" w:hAnsiTheme="majorHAnsi" w:cs="Times New Roman"/>
          <w:sz w:val="24"/>
          <w:szCs w:val="24"/>
        </w:rPr>
        <w:t xml:space="preserve">                                        </w:t>
      </w:r>
      <w:r w:rsidRPr="00C76412">
        <w:rPr>
          <w:rFonts w:asciiTheme="majorHAnsi" w:hAnsiTheme="majorHAnsi" w:cs="Times New Roman"/>
          <w:sz w:val="24"/>
          <w:szCs w:val="24"/>
        </w:rPr>
        <w:t xml:space="preserve">= </w:t>
      </w:r>
      <w:r w:rsidRPr="00C76412">
        <w:rPr>
          <w:rFonts w:asciiTheme="majorHAnsi" w:hAnsiTheme="majorHAnsi" w:cs="Times New Roman"/>
          <w:b/>
          <w:sz w:val="24"/>
          <w:szCs w:val="24"/>
        </w:rPr>
        <w:t>1731.07 Tk. per share</w:t>
      </w:r>
    </w:p>
    <w:p w:rsidR="00C76412" w:rsidRPr="00C76412" w:rsidRDefault="00C76412" w:rsidP="00C76412">
      <w:pPr>
        <w:spacing w:line="360" w:lineRule="auto"/>
        <w:rPr>
          <w:rFonts w:asciiTheme="majorHAnsi" w:hAnsiTheme="majorHAnsi" w:cs="Times New Roman"/>
          <w:sz w:val="24"/>
          <w:szCs w:val="24"/>
        </w:rPr>
      </w:pPr>
      <w:r w:rsidRPr="00C76412">
        <w:rPr>
          <w:rFonts w:asciiTheme="majorHAnsi" w:hAnsiTheme="majorHAnsi" w:cs="Times New Roman"/>
          <w:sz w:val="24"/>
          <w:szCs w:val="24"/>
        </w:rPr>
        <w:lastRenderedPageBreak/>
        <w:t>From the new share price we can see that the project will add value to the company slightly.</w:t>
      </w:r>
    </w:p>
    <w:p w:rsidR="00C76412" w:rsidRDefault="00C76412" w:rsidP="00C76412">
      <w:pPr>
        <w:spacing w:line="360" w:lineRule="auto"/>
        <w:rPr>
          <w:rFonts w:asciiTheme="majorHAnsi" w:hAnsiTheme="majorHAnsi" w:cs="Times New Roman"/>
          <w:b/>
          <w:sz w:val="36"/>
          <w:szCs w:val="36"/>
          <w:u w:val="single"/>
        </w:rPr>
      </w:pPr>
      <w:r w:rsidRPr="00C76412">
        <w:rPr>
          <w:rFonts w:asciiTheme="majorHAnsi" w:hAnsiTheme="majorHAnsi" w:cs="Times New Roman"/>
          <w:b/>
          <w:sz w:val="36"/>
          <w:szCs w:val="36"/>
          <w:u w:val="single"/>
        </w:rPr>
        <w:t>Scenario Analysis</w:t>
      </w:r>
    </w:p>
    <w:p w:rsidR="00C76412" w:rsidRPr="00C76412" w:rsidRDefault="00C76412" w:rsidP="00C76412">
      <w:pPr>
        <w:spacing w:line="360" w:lineRule="auto"/>
        <w:rPr>
          <w:rFonts w:asciiTheme="majorHAnsi" w:hAnsiTheme="majorHAnsi" w:cs="Times New Roman"/>
          <w:b/>
          <w:sz w:val="36"/>
          <w:szCs w:val="36"/>
          <w:u w:val="single"/>
        </w:rPr>
      </w:pPr>
      <w:r w:rsidRPr="00C76412">
        <w:rPr>
          <w:rFonts w:asciiTheme="majorHAnsi" w:hAnsiTheme="majorHAnsi" w:cs="Times New Roman"/>
          <w:sz w:val="24"/>
          <w:szCs w:val="24"/>
        </w:rPr>
        <w:t>For scenario analysis we took three cases</w:t>
      </w:r>
    </w:p>
    <w:p w:rsidR="00C76412" w:rsidRPr="00C76412" w:rsidRDefault="00C76412" w:rsidP="00C76412">
      <w:pPr>
        <w:pStyle w:val="ListParagraph"/>
        <w:numPr>
          <w:ilvl w:val="0"/>
          <w:numId w:val="1"/>
        </w:numPr>
        <w:spacing w:line="360" w:lineRule="auto"/>
        <w:rPr>
          <w:rFonts w:asciiTheme="majorHAnsi" w:hAnsiTheme="majorHAnsi"/>
          <w:sz w:val="24"/>
          <w:szCs w:val="24"/>
        </w:rPr>
      </w:pPr>
      <w:r w:rsidRPr="00C76412">
        <w:rPr>
          <w:rFonts w:asciiTheme="majorHAnsi" w:hAnsiTheme="majorHAnsi"/>
          <w:sz w:val="24"/>
          <w:szCs w:val="24"/>
        </w:rPr>
        <w:t>Pessimistic</w:t>
      </w:r>
    </w:p>
    <w:p w:rsidR="00C76412" w:rsidRPr="00C76412" w:rsidRDefault="00C76412" w:rsidP="00C76412">
      <w:pPr>
        <w:pStyle w:val="ListParagraph"/>
        <w:numPr>
          <w:ilvl w:val="0"/>
          <w:numId w:val="1"/>
        </w:numPr>
        <w:spacing w:line="360" w:lineRule="auto"/>
        <w:rPr>
          <w:rFonts w:asciiTheme="majorHAnsi" w:hAnsiTheme="majorHAnsi"/>
          <w:sz w:val="24"/>
          <w:szCs w:val="24"/>
        </w:rPr>
      </w:pPr>
      <w:r w:rsidRPr="00C76412">
        <w:rPr>
          <w:rFonts w:asciiTheme="majorHAnsi" w:hAnsiTheme="majorHAnsi"/>
          <w:sz w:val="24"/>
          <w:szCs w:val="24"/>
        </w:rPr>
        <w:t>Expected</w:t>
      </w:r>
    </w:p>
    <w:p w:rsidR="00C76412" w:rsidRPr="00C76412" w:rsidRDefault="00C76412" w:rsidP="00C76412">
      <w:pPr>
        <w:pStyle w:val="ListParagraph"/>
        <w:numPr>
          <w:ilvl w:val="0"/>
          <w:numId w:val="1"/>
        </w:numPr>
        <w:spacing w:line="360" w:lineRule="auto"/>
        <w:rPr>
          <w:rFonts w:asciiTheme="majorHAnsi" w:hAnsiTheme="majorHAnsi"/>
          <w:sz w:val="24"/>
          <w:szCs w:val="24"/>
        </w:rPr>
      </w:pPr>
      <w:r w:rsidRPr="00C76412">
        <w:rPr>
          <w:rFonts w:asciiTheme="majorHAnsi" w:hAnsiTheme="majorHAnsi"/>
          <w:sz w:val="24"/>
          <w:szCs w:val="24"/>
        </w:rPr>
        <w:t>Optimistic situation</w:t>
      </w:r>
    </w:p>
    <w:p w:rsidR="00C76412" w:rsidRPr="00C76412" w:rsidRDefault="00C76412" w:rsidP="00C76412">
      <w:pPr>
        <w:spacing w:line="360" w:lineRule="auto"/>
        <w:rPr>
          <w:rFonts w:asciiTheme="majorHAnsi" w:hAnsiTheme="majorHAnsi" w:cs="Times New Roman"/>
          <w:sz w:val="24"/>
          <w:szCs w:val="24"/>
        </w:rPr>
      </w:pPr>
      <w:r w:rsidRPr="00C76412">
        <w:rPr>
          <w:rFonts w:asciiTheme="majorHAnsi" w:hAnsiTheme="majorHAnsi" w:cs="Times New Roman"/>
          <w:sz w:val="24"/>
          <w:szCs w:val="24"/>
        </w:rPr>
        <w:t>Now we assume that the sales remain constant for the five year period rather than the company’s existing sales growth rate in each of the three scenarios and sales is considered as the only variable. We took the expected income statement as before, a pessimistic scenario where sales will go down by 15% and an optimistic scenario assuming that sales will increase by 15%.</w:t>
      </w:r>
    </w:p>
    <w:p w:rsidR="00C76412" w:rsidRPr="00EF1E93" w:rsidRDefault="00C76412" w:rsidP="00C76412">
      <w:pPr>
        <w:spacing w:line="360" w:lineRule="auto"/>
        <w:rPr>
          <w:rFonts w:asciiTheme="majorHAnsi" w:hAnsiTheme="majorHAnsi" w:cs="Times New Roman"/>
          <w:sz w:val="24"/>
          <w:szCs w:val="24"/>
        </w:rPr>
      </w:pPr>
      <w:r w:rsidRPr="00C76412">
        <w:rPr>
          <w:rFonts w:asciiTheme="majorHAnsi" w:hAnsiTheme="majorHAnsi" w:cs="Times New Roman"/>
          <w:sz w:val="24"/>
          <w:szCs w:val="24"/>
        </w:rPr>
        <w:t>The variable cost remain constant and the cost of the capital will also same, i.e.; 15%.</w:t>
      </w:r>
    </w:p>
    <w:tbl>
      <w:tblPr>
        <w:tblW w:w="9943" w:type="dxa"/>
        <w:tblInd w:w="108" w:type="dxa"/>
        <w:tblLook w:val="04A0"/>
      </w:tblPr>
      <w:tblGrid>
        <w:gridCol w:w="2560"/>
        <w:gridCol w:w="1361"/>
        <w:gridCol w:w="1384"/>
        <w:gridCol w:w="1750"/>
        <w:gridCol w:w="1628"/>
        <w:gridCol w:w="1260"/>
      </w:tblGrid>
      <w:tr w:rsidR="00C76412" w:rsidRPr="002712FB" w:rsidTr="00C76412">
        <w:trPr>
          <w:trHeight w:val="255"/>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 </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2009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2010</w:t>
            </w:r>
          </w:p>
        </w:tc>
        <w:tc>
          <w:tcPr>
            <w:tcW w:w="1750" w:type="dxa"/>
            <w:tcBorders>
              <w:top w:val="single" w:sz="4" w:space="0" w:color="auto"/>
              <w:left w:val="nil"/>
              <w:bottom w:val="single" w:sz="4" w:space="0" w:color="auto"/>
              <w:right w:val="single" w:sz="4" w:space="0" w:color="auto"/>
            </w:tcBorders>
            <w:shd w:val="clear" w:color="000000" w:fill="FFFFFF"/>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2010</w:t>
            </w:r>
          </w:p>
        </w:tc>
        <w:tc>
          <w:tcPr>
            <w:tcW w:w="1628" w:type="dxa"/>
            <w:tcBorders>
              <w:top w:val="single" w:sz="4" w:space="0" w:color="auto"/>
              <w:left w:val="nil"/>
              <w:bottom w:val="single" w:sz="4" w:space="0" w:color="auto"/>
              <w:right w:val="single" w:sz="4" w:space="0" w:color="auto"/>
            </w:tcBorders>
            <w:shd w:val="clear" w:color="auto" w:fill="auto"/>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2010</w:t>
            </w:r>
          </w:p>
        </w:tc>
        <w:tc>
          <w:tcPr>
            <w:tcW w:w="1260" w:type="dxa"/>
            <w:tcBorders>
              <w:top w:val="nil"/>
              <w:left w:val="nil"/>
              <w:bottom w:val="nil"/>
              <w:right w:val="nil"/>
            </w:tcBorders>
            <w:shd w:val="clear" w:color="auto" w:fill="auto"/>
            <w:noWrap/>
            <w:vAlign w:val="bottom"/>
            <w:hideMark/>
          </w:tcPr>
          <w:p w:rsidR="00C76412" w:rsidRPr="002712FB" w:rsidRDefault="00C76412" w:rsidP="00FA5169">
            <w:pPr>
              <w:rPr>
                <w:rFonts w:ascii="Arial" w:hAnsi="Arial" w:cs="Arial"/>
                <w:sz w:val="20"/>
                <w:szCs w:val="20"/>
              </w:rPr>
            </w:pPr>
          </w:p>
        </w:tc>
      </w:tr>
      <w:tr w:rsidR="00C76412" w:rsidRPr="002712FB" w:rsidTr="00C76412">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 </w:t>
            </w:r>
          </w:p>
        </w:tc>
        <w:tc>
          <w:tcPr>
            <w:tcW w:w="1361" w:type="dxa"/>
            <w:tcBorders>
              <w:top w:val="nil"/>
              <w:left w:val="nil"/>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Assumptions</w:t>
            </w:r>
          </w:p>
        </w:tc>
        <w:tc>
          <w:tcPr>
            <w:tcW w:w="1384" w:type="dxa"/>
            <w:tcBorders>
              <w:top w:val="nil"/>
              <w:left w:val="nil"/>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 </w:t>
            </w:r>
          </w:p>
        </w:tc>
        <w:tc>
          <w:tcPr>
            <w:tcW w:w="1750" w:type="dxa"/>
            <w:tcBorders>
              <w:top w:val="nil"/>
              <w:left w:val="nil"/>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 </w:t>
            </w:r>
          </w:p>
        </w:tc>
        <w:tc>
          <w:tcPr>
            <w:tcW w:w="1628" w:type="dxa"/>
            <w:tcBorders>
              <w:top w:val="nil"/>
              <w:left w:val="nil"/>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 </w:t>
            </w:r>
          </w:p>
        </w:tc>
        <w:tc>
          <w:tcPr>
            <w:tcW w:w="1260" w:type="dxa"/>
            <w:tcBorders>
              <w:top w:val="nil"/>
              <w:left w:val="nil"/>
              <w:bottom w:val="nil"/>
              <w:right w:val="nil"/>
            </w:tcBorders>
            <w:shd w:val="clear" w:color="auto" w:fill="auto"/>
            <w:noWrap/>
            <w:vAlign w:val="bottom"/>
            <w:hideMark/>
          </w:tcPr>
          <w:p w:rsidR="00C76412" w:rsidRPr="002712FB" w:rsidRDefault="00C76412" w:rsidP="00FA5169">
            <w:pPr>
              <w:rPr>
                <w:rFonts w:ascii="Arial" w:hAnsi="Arial" w:cs="Arial"/>
                <w:sz w:val="20"/>
                <w:szCs w:val="20"/>
              </w:rPr>
            </w:pPr>
          </w:p>
        </w:tc>
      </w:tr>
      <w:tr w:rsidR="00C76412" w:rsidRPr="002712FB" w:rsidTr="00C76412">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 </w:t>
            </w:r>
          </w:p>
        </w:tc>
        <w:tc>
          <w:tcPr>
            <w:tcW w:w="1361" w:type="dxa"/>
            <w:tcBorders>
              <w:top w:val="nil"/>
              <w:left w:val="nil"/>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 </w:t>
            </w:r>
          </w:p>
        </w:tc>
        <w:tc>
          <w:tcPr>
            <w:tcW w:w="1384" w:type="dxa"/>
            <w:tcBorders>
              <w:top w:val="nil"/>
              <w:left w:val="nil"/>
              <w:bottom w:val="single" w:sz="4" w:space="0" w:color="auto"/>
              <w:right w:val="single" w:sz="4" w:space="0" w:color="auto"/>
            </w:tcBorders>
            <w:shd w:val="clear" w:color="000000" w:fill="B6DDE8"/>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Expected</w:t>
            </w:r>
          </w:p>
        </w:tc>
        <w:tc>
          <w:tcPr>
            <w:tcW w:w="1750" w:type="dxa"/>
            <w:tcBorders>
              <w:top w:val="nil"/>
              <w:left w:val="nil"/>
              <w:bottom w:val="single" w:sz="4" w:space="0" w:color="auto"/>
              <w:right w:val="single" w:sz="4" w:space="0" w:color="auto"/>
            </w:tcBorders>
            <w:shd w:val="clear" w:color="000000" w:fill="F2DDDC"/>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Pessimistic(15%)</w:t>
            </w:r>
          </w:p>
        </w:tc>
        <w:tc>
          <w:tcPr>
            <w:tcW w:w="1628" w:type="dxa"/>
            <w:tcBorders>
              <w:top w:val="nil"/>
              <w:left w:val="nil"/>
              <w:bottom w:val="single" w:sz="4" w:space="0" w:color="auto"/>
              <w:right w:val="single" w:sz="4" w:space="0" w:color="auto"/>
            </w:tcBorders>
            <w:shd w:val="clear" w:color="000000" w:fill="D7E4BC"/>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Optimistic(15%)</w:t>
            </w:r>
          </w:p>
        </w:tc>
        <w:tc>
          <w:tcPr>
            <w:tcW w:w="1260" w:type="dxa"/>
            <w:tcBorders>
              <w:top w:val="nil"/>
              <w:left w:val="nil"/>
              <w:bottom w:val="nil"/>
              <w:right w:val="nil"/>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Remarks</w:t>
            </w:r>
          </w:p>
        </w:tc>
      </w:tr>
      <w:tr w:rsidR="00C76412" w:rsidRPr="002712FB" w:rsidTr="00C76412">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Investment</w:t>
            </w:r>
          </w:p>
        </w:tc>
        <w:tc>
          <w:tcPr>
            <w:tcW w:w="1361" w:type="dxa"/>
            <w:tcBorders>
              <w:top w:val="nil"/>
              <w:left w:val="nil"/>
              <w:bottom w:val="single" w:sz="4" w:space="0" w:color="auto"/>
              <w:right w:val="single" w:sz="4" w:space="0" w:color="auto"/>
            </w:tcBorders>
            <w:shd w:val="clear" w:color="auto" w:fill="auto"/>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5,000,000</w:t>
            </w:r>
          </w:p>
        </w:tc>
        <w:tc>
          <w:tcPr>
            <w:tcW w:w="1384" w:type="dxa"/>
            <w:tcBorders>
              <w:top w:val="nil"/>
              <w:left w:val="nil"/>
              <w:bottom w:val="single" w:sz="4" w:space="0" w:color="auto"/>
              <w:right w:val="single" w:sz="4" w:space="0" w:color="auto"/>
            </w:tcBorders>
            <w:shd w:val="clear" w:color="000000" w:fill="B6DDE8"/>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 </w:t>
            </w:r>
          </w:p>
        </w:tc>
        <w:tc>
          <w:tcPr>
            <w:tcW w:w="1750" w:type="dxa"/>
            <w:tcBorders>
              <w:top w:val="nil"/>
              <w:left w:val="nil"/>
              <w:bottom w:val="single" w:sz="4" w:space="0" w:color="auto"/>
              <w:right w:val="single" w:sz="4" w:space="0" w:color="auto"/>
            </w:tcBorders>
            <w:shd w:val="clear" w:color="000000" w:fill="F2DDDC"/>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 </w:t>
            </w:r>
          </w:p>
        </w:tc>
        <w:tc>
          <w:tcPr>
            <w:tcW w:w="1628" w:type="dxa"/>
            <w:tcBorders>
              <w:top w:val="nil"/>
              <w:left w:val="nil"/>
              <w:bottom w:val="single" w:sz="4" w:space="0" w:color="auto"/>
              <w:right w:val="single" w:sz="4" w:space="0" w:color="auto"/>
            </w:tcBorders>
            <w:shd w:val="clear" w:color="000000" w:fill="D7E4BC"/>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 </w:t>
            </w:r>
          </w:p>
        </w:tc>
        <w:tc>
          <w:tcPr>
            <w:tcW w:w="1260" w:type="dxa"/>
            <w:tcBorders>
              <w:top w:val="nil"/>
              <w:left w:val="nil"/>
              <w:bottom w:val="nil"/>
              <w:right w:val="nil"/>
            </w:tcBorders>
            <w:shd w:val="clear" w:color="auto" w:fill="auto"/>
            <w:noWrap/>
            <w:vAlign w:val="bottom"/>
            <w:hideMark/>
          </w:tcPr>
          <w:p w:rsidR="00C76412" w:rsidRPr="002712FB" w:rsidRDefault="00C76412" w:rsidP="00FA5169">
            <w:pPr>
              <w:rPr>
                <w:rFonts w:ascii="Arial" w:hAnsi="Arial" w:cs="Arial"/>
                <w:sz w:val="20"/>
                <w:szCs w:val="20"/>
              </w:rPr>
            </w:pPr>
          </w:p>
        </w:tc>
      </w:tr>
      <w:tr w:rsidR="00C76412" w:rsidRPr="002712FB" w:rsidTr="00C76412">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 xml:space="preserve">Net Sales </w:t>
            </w:r>
          </w:p>
        </w:tc>
        <w:tc>
          <w:tcPr>
            <w:tcW w:w="1361" w:type="dxa"/>
            <w:tcBorders>
              <w:top w:val="nil"/>
              <w:left w:val="nil"/>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 </w:t>
            </w:r>
          </w:p>
        </w:tc>
        <w:tc>
          <w:tcPr>
            <w:tcW w:w="1384" w:type="dxa"/>
            <w:tcBorders>
              <w:top w:val="nil"/>
              <w:left w:val="nil"/>
              <w:bottom w:val="single" w:sz="4" w:space="0" w:color="auto"/>
              <w:right w:val="single" w:sz="4" w:space="0" w:color="auto"/>
            </w:tcBorders>
            <w:shd w:val="clear" w:color="000000" w:fill="B6DDE8"/>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10,000,000</w:t>
            </w:r>
          </w:p>
        </w:tc>
        <w:tc>
          <w:tcPr>
            <w:tcW w:w="1750" w:type="dxa"/>
            <w:tcBorders>
              <w:top w:val="nil"/>
              <w:left w:val="nil"/>
              <w:bottom w:val="single" w:sz="4" w:space="0" w:color="auto"/>
              <w:right w:val="single" w:sz="4" w:space="0" w:color="auto"/>
            </w:tcBorders>
            <w:shd w:val="clear" w:color="000000" w:fill="F2DDDC"/>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8,500,000</w:t>
            </w:r>
          </w:p>
        </w:tc>
        <w:tc>
          <w:tcPr>
            <w:tcW w:w="1628" w:type="dxa"/>
            <w:tcBorders>
              <w:top w:val="nil"/>
              <w:left w:val="nil"/>
              <w:bottom w:val="single" w:sz="4" w:space="0" w:color="auto"/>
              <w:right w:val="single" w:sz="4" w:space="0" w:color="auto"/>
            </w:tcBorders>
            <w:shd w:val="clear" w:color="000000" w:fill="D7E4BC"/>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11,500,000</w:t>
            </w:r>
          </w:p>
        </w:tc>
        <w:tc>
          <w:tcPr>
            <w:tcW w:w="1260" w:type="dxa"/>
            <w:tcBorders>
              <w:top w:val="nil"/>
              <w:left w:val="nil"/>
              <w:bottom w:val="nil"/>
              <w:right w:val="nil"/>
            </w:tcBorders>
            <w:shd w:val="clear" w:color="auto" w:fill="auto"/>
            <w:noWrap/>
            <w:vAlign w:val="bottom"/>
            <w:hideMark/>
          </w:tcPr>
          <w:p w:rsidR="00C76412" w:rsidRPr="002712FB" w:rsidRDefault="00C76412" w:rsidP="00FA5169">
            <w:pPr>
              <w:rPr>
                <w:rFonts w:ascii="Arial" w:hAnsi="Arial" w:cs="Arial"/>
                <w:sz w:val="20"/>
                <w:szCs w:val="20"/>
              </w:rPr>
            </w:pPr>
          </w:p>
        </w:tc>
      </w:tr>
      <w:tr w:rsidR="00C76412" w:rsidRPr="002712FB" w:rsidTr="00C76412">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Variables Cost</w:t>
            </w:r>
          </w:p>
        </w:tc>
        <w:tc>
          <w:tcPr>
            <w:tcW w:w="1361" w:type="dxa"/>
            <w:tcBorders>
              <w:top w:val="nil"/>
              <w:left w:val="nil"/>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 </w:t>
            </w:r>
          </w:p>
        </w:tc>
        <w:tc>
          <w:tcPr>
            <w:tcW w:w="1384" w:type="dxa"/>
            <w:tcBorders>
              <w:top w:val="nil"/>
              <w:left w:val="nil"/>
              <w:bottom w:val="single" w:sz="4" w:space="0" w:color="auto"/>
              <w:right w:val="single" w:sz="4" w:space="0" w:color="auto"/>
            </w:tcBorders>
            <w:shd w:val="clear" w:color="000000" w:fill="B6DDE8"/>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6,000,000</w:t>
            </w:r>
          </w:p>
        </w:tc>
        <w:tc>
          <w:tcPr>
            <w:tcW w:w="1750" w:type="dxa"/>
            <w:tcBorders>
              <w:top w:val="nil"/>
              <w:left w:val="nil"/>
              <w:bottom w:val="single" w:sz="4" w:space="0" w:color="auto"/>
              <w:right w:val="single" w:sz="4" w:space="0" w:color="auto"/>
            </w:tcBorders>
            <w:shd w:val="clear" w:color="000000" w:fill="F2DDDC"/>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5,100,000</w:t>
            </w:r>
          </w:p>
        </w:tc>
        <w:tc>
          <w:tcPr>
            <w:tcW w:w="1628" w:type="dxa"/>
            <w:tcBorders>
              <w:top w:val="nil"/>
              <w:left w:val="nil"/>
              <w:bottom w:val="single" w:sz="4" w:space="0" w:color="auto"/>
              <w:right w:val="single" w:sz="4" w:space="0" w:color="auto"/>
            </w:tcBorders>
            <w:shd w:val="clear" w:color="000000" w:fill="D7E4BC"/>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6,900,000</w:t>
            </w:r>
          </w:p>
        </w:tc>
        <w:tc>
          <w:tcPr>
            <w:tcW w:w="1260" w:type="dxa"/>
            <w:tcBorders>
              <w:top w:val="nil"/>
              <w:left w:val="nil"/>
              <w:bottom w:val="nil"/>
              <w:right w:val="nil"/>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40% of Sales</w:t>
            </w:r>
          </w:p>
        </w:tc>
      </w:tr>
      <w:tr w:rsidR="00C76412" w:rsidRPr="002712FB" w:rsidTr="00C76412">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Fixed Cost</w:t>
            </w:r>
          </w:p>
        </w:tc>
        <w:tc>
          <w:tcPr>
            <w:tcW w:w="1361" w:type="dxa"/>
            <w:tcBorders>
              <w:top w:val="nil"/>
              <w:left w:val="nil"/>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 </w:t>
            </w:r>
          </w:p>
        </w:tc>
        <w:tc>
          <w:tcPr>
            <w:tcW w:w="1384" w:type="dxa"/>
            <w:tcBorders>
              <w:top w:val="nil"/>
              <w:left w:val="nil"/>
              <w:bottom w:val="single" w:sz="4" w:space="0" w:color="auto"/>
              <w:right w:val="single" w:sz="4" w:space="0" w:color="auto"/>
            </w:tcBorders>
            <w:shd w:val="clear" w:color="000000" w:fill="B6DDE8"/>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500,000</w:t>
            </w:r>
          </w:p>
        </w:tc>
        <w:tc>
          <w:tcPr>
            <w:tcW w:w="1750" w:type="dxa"/>
            <w:tcBorders>
              <w:top w:val="nil"/>
              <w:left w:val="nil"/>
              <w:bottom w:val="single" w:sz="4" w:space="0" w:color="auto"/>
              <w:right w:val="single" w:sz="4" w:space="0" w:color="auto"/>
            </w:tcBorders>
            <w:shd w:val="clear" w:color="000000" w:fill="F2DDDC"/>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500,000</w:t>
            </w:r>
          </w:p>
        </w:tc>
        <w:tc>
          <w:tcPr>
            <w:tcW w:w="1628" w:type="dxa"/>
            <w:tcBorders>
              <w:top w:val="nil"/>
              <w:left w:val="nil"/>
              <w:bottom w:val="single" w:sz="4" w:space="0" w:color="auto"/>
              <w:right w:val="single" w:sz="4" w:space="0" w:color="auto"/>
            </w:tcBorders>
            <w:shd w:val="clear" w:color="000000" w:fill="D7E4BC"/>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500,000</w:t>
            </w:r>
          </w:p>
        </w:tc>
        <w:tc>
          <w:tcPr>
            <w:tcW w:w="1260" w:type="dxa"/>
            <w:tcBorders>
              <w:top w:val="nil"/>
              <w:left w:val="nil"/>
              <w:bottom w:val="nil"/>
              <w:right w:val="nil"/>
            </w:tcBorders>
            <w:shd w:val="clear" w:color="auto" w:fill="auto"/>
            <w:noWrap/>
            <w:vAlign w:val="bottom"/>
            <w:hideMark/>
          </w:tcPr>
          <w:p w:rsidR="00C76412" w:rsidRPr="002712FB" w:rsidRDefault="00C76412" w:rsidP="00FA5169">
            <w:pPr>
              <w:rPr>
                <w:rFonts w:ascii="Arial" w:hAnsi="Arial" w:cs="Arial"/>
                <w:sz w:val="20"/>
                <w:szCs w:val="20"/>
              </w:rPr>
            </w:pPr>
          </w:p>
        </w:tc>
      </w:tr>
      <w:tr w:rsidR="00C76412" w:rsidRPr="002712FB" w:rsidTr="00C76412">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EBITDA</w:t>
            </w:r>
          </w:p>
        </w:tc>
        <w:tc>
          <w:tcPr>
            <w:tcW w:w="1361" w:type="dxa"/>
            <w:tcBorders>
              <w:top w:val="nil"/>
              <w:left w:val="nil"/>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 </w:t>
            </w:r>
          </w:p>
        </w:tc>
        <w:tc>
          <w:tcPr>
            <w:tcW w:w="1384" w:type="dxa"/>
            <w:tcBorders>
              <w:top w:val="nil"/>
              <w:left w:val="nil"/>
              <w:bottom w:val="single" w:sz="4" w:space="0" w:color="auto"/>
              <w:right w:val="single" w:sz="4" w:space="0" w:color="auto"/>
            </w:tcBorders>
            <w:shd w:val="clear" w:color="000000" w:fill="B6DDE8"/>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3,500,000</w:t>
            </w:r>
          </w:p>
        </w:tc>
        <w:tc>
          <w:tcPr>
            <w:tcW w:w="1750" w:type="dxa"/>
            <w:tcBorders>
              <w:top w:val="nil"/>
              <w:left w:val="nil"/>
              <w:bottom w:val="single" w:sz="4" w:space="0" w:color="auto"/>
              <w:right w:val="single" w:sz="4" w:space="0" w:color="auto"/>
            </w:tcBorders>
            <w:shd w:val="clear" w:color="000000" w:fill="F2DDDC"/>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2,900,000</w:t>
            </w:r>
          </w:p>
        </w:tc>
        <w:tc>
          <w:tcPr>
            <w:tcW w:w="1628" w:type="dxa"/>
            <w:tcBorders>
              <w:top w:val="nil"/>
              <w:left w:val="nil"/>
              <w:bottom w:val="single" w:sz="4" w:space="0" w:color="auto"/>
              <w:right w:val="single" w:sz="4" w:space="0" w:color="auto"/>
            </w:tcBorders>
            <w:shd w:val="clear" w:color="000000" w:fill="D7E4BC"/>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4,100,000</w:t>
            </w:r>
          </w:p>
        </w:tc>
        <w:tc>
          <w:tcPr>
            <w:tcW w:w="1260" w:type="dxa"/>
            <w:tcBorders>
              <w:top w:val="nil"/>
              <w:left w:val="nil"/>
              <w:bottom w:val="nil"/>
              <w:right w:val="nil"/>
            </w:tcBorders>
            <w:shd w:val="clear" w:color="auto" w:fill="auto"/>
            <w:noWrap/>
            <w:vAlign w:val="bottom"/>
            <w:hideMark/>
          </w:tcPr>
          <w:p w:rsidR="00C76412" w:rsidRPr="002712FB" w:rsidRDefault="00C76412" w:rsidP="00FA5169">
            <w:pPr>
              <w:rPr>
                <w:rFonts w:ascii="Arial" w:hAnsi="Arial" w:cs="Arial"/>
                <w:sz w:val="20"/>
                <w:szCs w:val="20"/>
              </w:rPr>
            </w:pPr>
          </w:p>
        </w:tc>
      </w:tr>
      <w:tr w:rsidR="00C76412" w:rsidRPr="002712FB" w:rsidTr="00C76412">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Less: Depreciation</w:t>
            </w:r>
          </w:p>
        </w:tc>
        <w:tc>
          <w:tcPr>
            <w:tcW w:w="1361" w:type="dxa"/>
            <w:tcBorders>
              <w:top w:val="nil"/>
              <w:left w:val="nil"/>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 </w:t>
            </w:r>
          </w:p>
        </w:tc>
        <w:tc>
          <w:tcPr>
            <w:tcW w:w="1384" w:type="dxa"/>
            <w:tcBorders>
              <w:top w:val="nil"/>
              <w:left w:val="nil"/>
              <w:bottom w:val="single" w:sz="4" w:space="0" w:color="auto"/>
              <w:right w:val="single" w:sz="4" w:space="0" w:color="auto"/>
            </w:tcBorders>
            <w:shd w:val="clear" w:color="000000" w:fill="B6DDE8"/>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1,000,000</w:t>
            </w:r>
          </w:p>
        </w:tc>
        <w:tc>
          <w:tcPr>
            <w:tcW w:w="1750" w:type="dxa"/>
            <w:tcBorders>
              <w:top w:val="nil"/>
              <w:left w:val="nil"/>
              <w:bottom w:val="single" w:sz="4" w:space="0" w:color="auto"/>
              <w:right w:val="single" w:sz="4" w:space="0" w:color="auto"/>
            </w:tcBorders>
            <w:shd w:val="clear" w:color="000000" w:fill="F2DDDC"/>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1,000,000</w:t>
            </w:r>
          </w:p>
        </w:tc>
        <w:tc>
          <w:tcPr>
            <w:tcW w:w="1628" w:type="dxa"/>
            <w:tcBorders>
              <w:top w:val="nil"/>
              <w:left w:val="nil"/>
              <w:bottom w:val="single" w:sz="4" w:space="0" w:color="auto"/>
              <w:right w:val="single" w:sz="4" w:space="0" w:color="auto"/>
            </w:tcBorders>
            <w:shd w:val="clear" w:color="000000" w:fill="D7E4BC"/>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1,000,000</w:t>
            </w:r>
          </w:p>
        </w:tc>
        <w:tc>
          <w:tcPr>
            <w:tcW w:w="1260" w:type="dxa"/>
            <w:tcBorders>
              <w:top w:val="nil"/>
              <w:left w:val="nil"/>
              <w:bottom w:val="nil"/>
              <w:right w:val="nil"/>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5000000/5</w:t>
            </w:r>
          </w:p>
        </w:tc>
      </w:tr>
      <w:tr w:rsidR="00C76412" w:rsidRPr="002712FB" w:rsidTr="00C76412">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EBIT</w:t>
            </w:r>
          </w:p>
        </w:tc>
        <w:tc>
          <w:tcPr>
            <w:tcW w:w="1361" w:type="dxa"/>
            <w:tcBorders>
              <w:top w:val="nil"/>
              <w:left w:val="nil"/>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 </w:t>
            </w:r>
          </w:p>
        </w:tc>
        <w:tc>
          <w:tcPr>
            <w:tcW w:w="1384" w:type="dxa"/>
            <w:tcBorders>
              <w:top w:val="nil"/>
              <w:left w:val="nil"/>
              <w:bottom w:val="single" w:sz="4" w:space="0" w:color="auto"/>
              <w:right w:val="single" w:sz="4" w:space="0" w:color="auto"/>
            </w:tcBorders>
            <w:shd w:val="clear" w:color="000000" w:fill="B6DDE8"/>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2,500,000</w:t>
            </w:r>
          </w:p>
        </w:tc>
        <w:tc>
          <w:tcPr>
            <w:tcW w:w="1750" w:type="dxa"/>
            <w:tcBorders>
              <w:top w:val="nil"/>
              <w:left w:val="nil"/>
              <w:bottom w:val="single" w:sz="4" w:space="0" w:color="auto"/>
              <w:right w:val="single" w:sz="4" w:space="0" w:color="auto"/>
            </w:tcBorders>
            <w:shd w:val="clear" w:color="000000" w:fill="F2DDDC"/>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1,900,000</w:t>
            </w:r>
          </w:p>
        </w:tc>
        <w:tc>
          <w:tcPr>
            <w:tcW w:w="1628" w:type="dxa"/>
            <w:tcBorders>
              <w:top w:val="nil"/>
              <w:left w:val="nil"/>
              <w:bottom w:val="single" w:sz="4" w:space="0" w:color="auto"/>
              <w:right w:val="single" w:sz="4" w:space="0" w:color="auto"/>
            </w:tcBorders>
            <w:shd w:val="clear" w:color="000000" w:fill="D7E4BC"/>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3,100,000</w:t>
            </w:r>
          </w:p>
        </w:tc>
        <w:tc>
          <w:tcPr>
            <w:tcW w:w="1260" w:type="dxa"/>
            <w:tcBorders>
              <w:top w:val="nil"/>
              <w:left w:val="nil"/>
              <w:bottom w:val="nil"/>
              <w:right w:val="nil"/>
            </w:tcBorders>
            <w:shd w:val="clear" w:color="auto" w:fill="auto"/>
            <w:noWrap/>
            <w:vAlign w:val="bottom"/>
            <w:hideMark/>
          </w:tcPr>
          <w:p w:rsidR="00C76412" w:rsidRPr="002712FB" w:rsidRDefault="00C76412" w:rsidP="00FA5169">
            <w:pPr>
              <w:rPr>
                <w:rFonts w:ascii="Arial" w:hAnsi="Arial" w:cs="Arial"/>
                <w:sz w:val="20"/>
                <w:szCs w:val="20"/>
              </w:rPr>
            </w:pPr>
          </w:p>
        </w:tc>
      </w:tr>
      <w:tr w:rsidR="00C76412" w:rsidRPr="002712FB" w:rsidTr="00C76412">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76412" w:rsidRPr="002712FB" w:rsidRDefault="002A20DB" w:rsidP="00FA5169">
            <w:pPr>
              <w:rPr>
                <w:rFonts w:ascii="Arial" w:hAnsi="Arial" w:cs="Arial"/>
                <w:color w:val="0000FF"/>
                <w:sz w:val="20"/>
                <w:szCs w:val="20"/>
                <w:u w:val="single"/>
              </w:rPr>
            </w:pPr>
            <w:hyperlink r:id="rId27" w:history="1">
              <w:r w:rsidR="00C76412" w:rsidRPr="002712FB">
                <w:rPr>
                  <w:rFonts w:ascii="Arial" w:hAnsi="Arial" w:cs="Arial"/>
                  <w:color w:val="0000FF"/>
                  <w:sz w:val="20"/>
                  <w:u w:val="single"/>
                </w:rPr>
                <w:t>Tax@30%</w:t>
              </w:r>
            </w:hyperlink>
          </w:p>
        </w:tc>
        <w:tc>
          <w:tcPr>
            <w:tcW w:w="1361" w:type="dxa"/>
            <w:tcBorders>
              <w:top w:val="nil"/>
              <w:left w:val="nil"/>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 </w:t>
            </w:r>
          </w:p>
        </w:tc>
        <w:tc>
          <w:tcPr>
            <w:tcW w:w="1384" w:type="dxa"/>
            <w:tcBorders>
              <w:top w:val="nil"/>
              <w:left w:val="nil"/>
              <w:bottom w:val="single" w:sz="4" w:space="0" w:color="auto"/>
              <w:right w:val="single" w:sz="4" w:space="0" w:color="auto"/>
            </w:tcBorders>
            <w:shd w:val="clear" w:color="000000" w:fill="B6DDE8"/>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750,000</w:t>
            </w:r>
          </w:p>
        </w:tc>
        <w:tc>
          <w:tcPr>
            <w:tcW w:w="1750" w:type="dxa"/>
            <w:tcBorders>
              <w:top w:val="nil"/>
              <w:left w:val="nil"/>
              <w:bottom w:val="single" w:sz="4" w:space="0" w:color="auto"/>
              <w:right w:val="single" w:sz="4" w:space="0" w:color="auto"/>
            </w:tcBorders>
            <w:shd w:val="clear" w:color="000000" w:fill="F2DDDC"/>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570,000</w:t>
            </w:r>
          </w:p>
        </w:tc>
        <w:tc>
          <w:tcPr>
            <w:tcW w:w="1628" w:type="dxa"/>
            <w:tcBorders>
              <w:top w:val="nil"/>
              <w:left w:val="nil"/>
              <w:bottom w:val="single" w:sz="4" w:space="0" w:color="auto"/>
              <w:right w:val="single" w:sz="4" w:space="0" w:color="auto"/>
            </w:tcBorders>
            <w:shd w:val="clear" w:color="000000" w:fill="D7E4BC"/>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930,000</w:t>
            </w:r>
          </w:p>
        </w:tc>
        <w:tc>
          <w:tcPr>
            <w:tcW w:w="1260" w:type="dxa"/>
            <w:tcBorders>
              <w:top w:val="nil"/>
              <w:left w:val="nil"/>
              <w:bottom w:val="nil"/>
              <w:right w:val="nil"/>
            </w:tcBorders>
            <w:shd w:val="clear" w:color="auto" w:fill="auto"/>
            <w:noWrap/>
            <w:vAlign w:val="bottom"/>
            <w:hideMark/>
          </w:tcPr>
          <w:p w:rsidR="00C76412" w:rsidRPr="002712FB" w:rsidRDefault="00C76412" w:rsidP="00FA5169">
            <w:pPr>
              <w:rPr>
                <w:rFonts w:ascii="Arial" w:hAnsi="Arial" w:cs="Arial"/>
                <w:sz w:val="20"/>
                <w:szCs w:val="20"/>
              </w:rPr>
            </w:pPr>
          </w:p>
        </w:tc>
      </w:tr>
      <w:tr w:rsidR="00C76412" w:rsidRPr="002712FB" w:rsidTr="00C76412">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Net Income</w:t>
            </w:r>
          </w:p>
        </w:tc>
        <w:tc>
          <w:tcPr>
            <w:tcW w:w="1361" w:type="dxa"/>
            <w:tcBorders>
              <w:top w:val="nil"/>
              <w:left w:val="nil"/>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 </w:t>
            </w:r>
          </w:p>
        </w:tc>
        <w:tc>
          <w:tcPr>
            <w:tcW w:w="1384" w:type="dxa"/>
            <w:tcBorders>
              <w:top w:val="nil"/>
              <w:left w:val="nil"/>
              <w:bottom w:val="single" w:sz="4" w:space="0" w:color="auto"/>
              <w:right w:val="single" w:sz="4" w:space="0" w:color="auto"/>
            </w:tcBorders>
            <w:shd w:val="clear" w:color="000000" w:fill="B6DDE8"/>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1,750,000</w:t>
            </w:r>
          </w:p>
        </w:tc>
        <w:tc>
          <w:tcPr>
            <w:tcW w:w="1750" w:type="dxa"/>
            <w:tcBorders>
              <w:top w:val="nil"/>
              <w:left w:val="nil"/>
              <w:bottom w:val="single" w:sz="4" w:space="0" w:color="auto"/>
              <w:right w:val="single" w:sz="4" w:space="0" w:color="auto"/>
            </w:tcBorders>
            <w:shd w:val="clear" w:color="000000" w:fill="F2DDDC"/>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1,330,000</w:t>
            </w:r>
          </w:p>
        </w:tc>
        <w:tc>
          <w:tcPr>
            <w:tcW w:w="1628" w:type="dxa"/>
            <w:tcBorders>
              <w:top w:val="nil"/>
              <w:left w:val="nil"/>
              <w:bottom w:val="single" w:sz="4" w:space="0" w:color="auto"/>
              <w:right w:val="single" w:sz="4" w:space="0" w:color="auto"/>
            </w:tcBorders>
            <w:shd w:val="clear" w:color="000000" w:fill="D7E4BC"/>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2,170,000</w:t>
            </w:r>
          </w:p>
        </w:tc>
        <w:tc>
          <w:tcPr>
            <w:tcW w:w="1260" w:type="dxa"/>
            <w:tcBorders>
              <w:top w:val="nil"/>
              <w:left w:val="nil"/>
              <w:bottom w:val="nil"/>
              <w:right w:val="nil"/>
            </w:tcBorders>
            <w:shd w:val="clear" w:color="auto" w:fill="auto"/>
            <w:noWrap/>
            <w:vAlign w:val="bottom"/>
            <w:hideMark/>
          </w:tcPr>
          <w:p w:rsidR="00C76412" w:rsidRPr="002712FB" w:rsidRDefault="00C76412" w:rsidP="00FA5169">
            <w:pPr>
              <w:rPr>
                <w:rFonts w:ascii="Arial" w:hAnsi="Arial" w:cs="Arial"/>
                <w:sz w:val="20"/>
                <w:szCs w:val="20"/>
              </w:rPr>
            </w:pPr>
          </w:p>
        </w:tc>
      </w:tr>
      <w:tr w:rsidR="00C76412" w:rsidRPr="002712FB" w:rsidTr="00C76412">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Add: Depreciation</w:t>
            </w:r>
          </w:p>
        </w:tc>
        <w:tc>
          <w:tcPr>
            <w:tcW w:w="1361" w:type="dxa"/>
            <w:tcBorders>
              <w:top w:val="nil"/>
              <w:left w:val="nil"/>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sz w:val="20"/>
                <w:szCs w:val="20"/>
              </w:rPr>
            </w:pPr>
            <w:r w:rsidRPr="002712FB">
              <w:rPr>
                <w:rFonts w:ascii="Arial" w:hAnsi="Arial" w:cs="Arial"/>
                <w:sz w:val="20"/>
                <w:szCs w:val="20"/>
              </w:rPr>
              <w:t> </w:t>
            </w:r>
          </w:p>
        </w:tc>
        <w:tc>
          <w:tcPr>
            <w:tcW w:w="1384" w:type="dxa"/>
            <w:tcBorders>
              <w:top w:val="nil"/>
              <w:left w:val="nil"/>
              <w:bottom w:val="single" w:sz="4" w:space="0" w:color="auto"/>
              <w:right w:val="single" w:sz="4" w:space="0" w:color="auto"/>
            </w:tcBorders>
            <w:shd w:val="clear" w:color="000000" w:fill="B6DDE8"/>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1,000,000</w:t>
            </w:r>
          </w:p>
        </w:tc>
        <w:tc>
          <w:tcPr>
            <w:tcW w:w="1750" w:type="dxa"/>
            <w:tcBorders>
              <w:top w:val="nil"/>
              <w:left w:val="nil"/>
              <w:bottom w:val="single" w:sz="4" w:space="0" w:color="auto"/>
              <w:right w:val="single" w:sz="4" w:space="0" w:color="auto"/>
            </w:tcBorders>
            <w:shd w:val="clear" w:color="000000" w:fill="F2DDDC"/>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1,000,000</w:t>
            </w:r>
          </w:p>
        </w:tc>
        <w:tc>
          <w:tcPr>
            <w:tcW w:w="1628" w:type="dxa"/>
            <w:tcBorders>
              <w:top w:val="nil"/>
              <w:left w:val="nil"/>
              <w:bottom w:val="single" w:sz="4" w:space="0" w:color="auto"/>
              <w:right w:val="single" w:sz="4" w:space="0" w:color="auto"/>
            </w:tcBorders>
            <w:shd w:val="clear" w:color="000000" w:fill="D7E4BC"/>
            <w:noWrap/>
            <w:vAlign w:val="bottom"/>
            <w:hideMark/>
          </w:tcPr>
          <w:p w:rsidR="00C76412" w:rsidRPr="002712FB" w:rsidRDefault="00C76412" w:rsidP="00FA5169">
            <w:pPr>
              <w:jc w:val="right"/>
              <w:rPr>
                <w:rFonts w:ascii="Arial" w:hAnsi="Arial" w:cs="Arial"/>
                <w:sz w:val="20"/>
                <w:szCs w:val="20"/>
              </w:rPr>
            </w:pPr>
            <w:r w:rsidRPr="002712FB">
              <w:rPr>
                <w:rFonts w:ascii="Arial" w:hAnsi="Arial" w:cs="Arial"/>
                <w:sz w:val="20"/>
                <w:szCs w:val="20"/>
              </w:rPr>
              <w:t>1,000,000</w:t>
            </w:r>
          </w:p>
        </w:tc>
        <w:tc>
          <w:tcPr>
            <w:tcW w:w="1260" w:type="dxa"/>
            <w:tcBorders>
              <w:top w:val="nil"/>
              <w:left w:val="nil"/>
              <w:bottom w:val="nil"/>
              <w:right w:val="nil"/>
            </w:tcBorders>
            <w:shd w:val="clear" w:color="auto" w:fill="auto"/>
            <w:noWrap/>
            <w:vAlign w:val="bottom"/>
            <w:hideMark/>
          </w:tcPr>
          <w:p w:rsidR="00C76412" w:rsidRPr="002712FB" w:rsidRDefault="00C76412" w:rsidP="00FA5169">
            <w:pPr>
              <w:rPr>
                <w:rFonts w:ascii="Arial" w:hAnsi="Arial" w:cs="Arial"/>
                <w:sz w:val="20"/>
                <w:szCs w:val="20"/>
              </w:rPr>
            </w:pPr>
          </w:p>
        </w:tc>
      </w:tr>
      <w:tr w:rsidR="00C76412" w:rsidRPr="002712FB" w:rsidTr="00C76412">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b/>
                <w:sz w:val="20"/>
                <w:szCs w:val="20"/>
              </w:rPr>
            </w:pPr>
            <w:r w:rsidRPr="002712FB">
              <w:rPr>
                <w:rFonts w:ascii="Arial" w:hAnsi="Arial" w:cs="Arial"/>
                <w:b/>
                <w:sz w:val="20"/>
                <w:szCs w:val="20"/>
              </w:rPr>
              <w:t>Cash Flow</w:t>
            </w:r>
          </w:p>
        </w:tc>
        <w:tc>
          <w:tcPr>
            <w:tcW w:w="1361" w:type="dxa"/>
            <w:tcBorders>
              <w:top w:val="nil"/>
              <w:left w:val="nil"/>
              <w:bottom w:val="single" w:sz="4" w:space="0" w:color="auto"/>
              <w:right w:val="single" w:sz="4" w:space="0" w:color="auto"/>
            </w:tcBorders>
            <w:shd w:val="clear" w:color="auto" w:fill="auto"/>
            <w:noWrap/>
            <w:vAlign w:val="bottom"/>
            <w:hideMark/>
          </w:tcPr>
          <w:p w:rsidR="00C76412" w:rsidRPr="002712FB" w:rsidRDefault="00C76412" w:rsidP="00FA5169">
            <w:pPr>
              <w:rPr>
                <w:rFonts w:ascii="Arial" w:hAnsi="Arial" w:cs="Arial"/>
                <w:b/>
                <w:sz w:val="20"/>
                <w:szCs w:val="20"/>
              </w:rPr>
            </w:pPr>
            <w:r w:rsidRPr="002712FB">
              <w:rPr>
                <w:rFonts w:ascii="Arial" w:hAnsi="Arial" w:cs="Arial"/>
                <w:b/>
                <w:sz w:val="20"/>
                <w:szCs w:val="20"/>
              </w:rPr>
              <w:t> </w:t>
            </w:r>
          </w:p>
        </w:tc>
        <w:tc>
          <w:tcPr>
            <w:tcW w:w="1384" w:type="dxa"/>
            <w:tcBorders>
              <w:top w:val="nil"/>
              <w:left w:val="nil"/>
              <w:bottom w:val="single" w:sz="4" w:space="0" w:color="auto"/>
              <w:right w:val="single" w:sz="4" w:space="0" w:color="auto"/>
            </w:tcBorders>
            <w:shd w:val="clear" w:color="000000" w:fill="B6DDE8"/>
            <w:noWrap/>
            <w:vAlign w:val="bottom"/>
            <w:hideMark/>
          </w:tcPr>
          <w:p w:rsidR="00C76412" w:rsidRPr="002712FB" w:rsidRDefault="00C76412" w:rsidP="00FA5169">
            <w:pPr>
              <w:jc w:val="right"/>
              <w:rPr>
                <w:rFonts w:ascii="Arial" w:hAnsi="Arial" w:cs="Arial"/>
                <w:b/>
                <w:sz w:val="20"/>
                <w:szCs w:val="20"/>
              </w:rPr>
            </w:pPr>
            <w:r w:rsidRPr="002712FB">
              <w:rPr>
                <w:rFonts w:ascii="Arial" w:hAnsi="Arial" w:cs="Arial"/>
                <w:b/>
                <w:sz w:val="20"/>
                <w:szCs w:val="20"/>
              </w:rPr>
              <w:t>2,750,000</w:t>
            </w:r>
          </w:p>
        </w:tc>
        <w:tc>
          <w:tcPr>
            <w:tcW w:w="1750" w:type="dxa"/>
            <w:tcBorders>
              <w:top w:val="nil"/>
              <w:left w:val="nil"/>
              <w:bottom w:val="single" w:sz="4" w:space="0" w:color="auto"/>
              <w:right w:val="single" w:sz="4" w:space="0" w:color="auto"/>
            </w:tcBorders>
            <w:shd w:val="clear" w:color="000000" w:fill="F2DDDC"/>
            <w:noWrap/>
            <w:vAlign w:val="bottom"/>
            <w:hideMark/>
          </w:tcPr>
          <w:p w:rsidR="00C76412" w:rsidRPr="002712FB" w:rsidRDefault="00C76412" w:rsidP="00FA5169">
            <w:pPr>
              <w:jc w:val="right"/>
              <w:rPr>
                <w:rFonts w:ascii="Arial" w:hAnsi="Arial" w:cs="Arial"/>
                <w:b/>
                <w:sz w:val="20"/>
                <w:szCs w:val="20"/>
              </w:rPr>
            </w:pPr>
            <w:r w:rsidRPr="002712FB">
              <w:rPr>
                <w:rFonts w:ascii="Arial" w:hAnsi="Arial" w:cs="Arial"/>
                <w:b/>
                <w:sz w:val="20"/>
                <w:szCs w:val="20"/>
              </w:rPr>
              <w:t>2,330,000</w:t>
            </w:r>
          </w:p>
        </w:tc>
        <w:tc>
          <w:tcPr>
            <w:tcW w:w="1628" w:type="dxa"/>
            <w:tcBorders>
              <w:top w:val="nil"/>
              <w:left w:val="nil"/>
              <w:bottom w:val="single" w:sz="4" w:space="0" w:color="auto"/>
              <w:right w:val="single" w:sz="4" w:space="0" w:color="auto"/>
            </w:tcBorders>
            <w:shd w:val="clear" w:color="000000" w:fill="D7E4BC"/>
            <w:noWrap/>
            <w:vAlign w:val="bottom"/>
            <w:hideMark/>
          </w:tcPr>
          <w:p w:rsidR="00C76412" w:rsidRPr="002712FB" w:rsidRDefault="00C76412" w:rsidP="00FA5169">
            <w:pPr>
              <w:jc w:val="right"/>
              <w:rPr>
                <w:rFonts w:ascii="Arial" w:hAnsi="Arial" w:cs="Arial"/>
                <w:b/>
                <w:sz w:val="20"/>
                <w:szCs w:val="20"/>
              </w:rPr>
            </w:pPr>
            <w:r w:rsidRPr="002712FB">
              <w:rPr>
                <w:rFonts w:ascii="Arial" w:hAnsi="Arial" w:cs="Arial"/>
                <w:b/>
                <w:sz w:val="20"/>
                <w:szCs w:val="20"/>
              </w:rPr>
              <w:t>3,170,000</w:t>
            </w:r>
          </w:p>
        </w:tc>
        <w:tc>
          <w:tcPr>
            <w:tcW w:w="1260" w:type="dxa"/>
            <w:tcBorders>
              <w:top w:val="nil"/>
              <w:left w:val="nil"/>
              <w:bottom w:val="nil"/>
              <w:right w:val="nil"/>
            </w:tcBorders>
            <w:shd w:val="clear" w:color="auto" w:fill="auto"/>
            <w:noWrap/>
            <w:vAlign w:val="bottom"/>
            <w:hideMark/>
          </w:tcPr>
          <w:p w:rsidR="00C76412" w:rsidRPr="002712FB" w:rsidRDefault="00C76412" w:rsidP="00FA5169">
            <w:pPr>
              <w:rPr>
                <w:rFonts w:ascii="Arial" w:hAnsi="Arial" w:cs="Arial"/>
                <w:sz w:val="20"/>
                <w:szCs w:val="20"/>
              </w:rPr>
            </w:pPr>
          </w:p>
        </w:tc>
      </w:tr>
    </w:tbl>
    <w:p w:rsidR="00C76412" w:rsidRPr="00C76412" w:rsidRDefault="00C76412" w:rsidP="00C76412">
      <w:pPr>
        <w:spacing w:line="360" w:lineRule="auto"/>
        <w:rPr>
          <w:rFonts w:asciiTheme="majorHAnsi" w:hAnsiTheme="majorHAnsi"/>
          <w:sz w:val="24"/>
          <w:szCs w:val="24"/>
        </w:rPr>
      </w:pPr>
    </w:p>
    <w:p w:rsidR="00C76412" w:rsidRPr="00C76412" w:rsidRDefault="00C76412" w:rsidP="00C76412">
      <w:pPr>
        <w:spacing w:line="360" w:lineRule="auto"/>
        <w:rPr>
          <w:rFonts w:asciiTheme="majorHAnsi" w:hAnsiTheme="majorHAnsi"/>
          <w:sz w:val="24"/>
          <w:szCs w:val="24"/>
        </w:rPr>
      </w:pPr>
      <w:r w:rsidRPr="00C76412">
        <w:rPr>
          <w:rFonts w:asciiTheme="majorHAnsi" w:hAnsiTheme="majorHAnsi"/>
          <w:sz w:val="24"/>
          <w:szCs w:val="24"/>
        </w:rPr>
        <w:t>Now, if we calculate the NPV of these three scenarios we can see that,</w:t>
      </w:r>
    </w:p>
    <w:p w:rsidR="00C76412" w:rsidRPr="00C76412" w:rsidRDefault="00C76412" w:rsidP="007712A2">
      <w:pPr>
        <w:spacing w:line="240" w:lineRule="auto"/>
        <w:jc w:val="both"/>
        <w:rPr>
          <w:rFonts w:asciiTheme="majorHAnsi" w:hAnsiTheme="majorHAnsi"/>
          <w:sz w:val="24"/>
          <w:szCs w:val="24"/>
        </w:rPr>
      </w:pPr>
      <w:r w:rsidRPr="00C76412">
        <w:rPr>
          <w:rFonts w:asciiTheme="majorHAnsi" w:hAnsiTheme="majorHAnsi"/>
          <w:sz w:val="24"/>
          <w:szCs w:val="24"/>
        </w:rPr>
        <w:t>NPV</w:t>
      </w:r>
      <w:r w:rsidRPr="00C76412">
        <w:rPr>
          <w:rFonts w:asciiTheme="majorHAnsi" w:hAnsiTheme="majorHAnsi"/>
          <w:sz w:val="24"/>
          <w:szCs w:val="24"/>
          <w:vertAlign w:val="subscript"/>
        </w:rPr>
        <w:t>expected</w:t>
      </w:r>
      <w:r w:rsidRPr="00C76412">
        <w:rPr>
          <w:rFonts w:asciiTheme="majorHAnsi" w:hAnsiTheme="majorHAnsi"/>
          <w:sz w:val="24"/>
          <w:szCs w:val="24"/>
        </w:rPr>
        <w:t>= - 5,000,000 + 2,750,000* (</w:t>
      </w:r>
      <m:oMath>
        <m:f>
          <m:fPr>
            <m:ctrlPr>
              <w:rPr>
                <w:rFonts w:asciiTheme="majorHAnsi" w:hAnsiTheme="majorHAnsi"/>
                <w:sz w:val="24"/>
                <w:szCs w:val="24"/>
              </w:rPr>
            </m:ctrlPr>
          </m:fPr>
          <m:num>
            <m:r>
              <m:rPr>
                <m:sty m:val="p"/>
              </m:rPr>
              <w:rPr>
                <w:rFonts w:asciiTheme="majorHAnsi" w:hAnsiTheme="majorHAnsi"/>
                <w:sz w:val="24"/>
                <w:szCs w:val="24"/>
              </w:rPr>
              <m:t>1</m:t>
            </m:r>
          </m:num>
          <m:den>
            <m:sSup>
              <m:sSupPr>
                <m:ctrlPr>
                  <w:rPr>
                    <w:rFonts w:asciiTheme="majorHAnsi" w:hAnsiTheme="majorHAnsi"/>
                    <w:sz w:val="24"/>
                    <w:szCs w:val="24"/>
                  </w:rPr>
                </m:ctrlPr>
              </m:sSupPr>
              <m:e>
                <m:r>
                  <m:rPr>
                    <m:sty m:val="p"/>
                  </m:rPr>
                  <w:rPr>
                    <w:rFonts w:asciiTheme="majorHAnsi" w:hAnsiTheme="majorHAnsi"/>
                    <w:sz w:val="24"/>
                    <w:szCs w:val="24"/>
                  </w:rPr>
                  <m:t>1.15</m:t>
                </m:r>
              </m:e>
              <m:sup>
                <m:r>
                  <m:rPr>
                    <m:sty m:val="p"/>
                  </m:rPr>
                  <w:rPr>
                    <w:rFonts w:asciiTheme="majorHAnsi" w:hAnsiTheme="majorHAnsi"/>
                    <w:sz w:val="24"/>
                    <w:szCs w:val="24"/>
                  </w:rPr>
                  <m:t>1</m:t>
                </m:r>
              </m:sup>
            </m:sSup>
          </m:den>
        </m:f>
        <m:r>
          <m:rPr>
            <m:sty m:val="p"/>
          </m:rPr>
          <w:rPr>
            <w:rFonts w:asciiTheme="majorHAnsi" w:hAnsiTheme="majorHAnsi"/>
            <w:sz w:val="24"/>
            <w:szCs w:val="24"/>
          </w:rPr>
          <m:t xml:space="preserve">+ </m:t>
        </m:r>
        <m:f>
          <m:fPr>
            <m:ctrlPr>
              <w:rPr>
                <w:rFonts w:asciiTheme="majorHAnsi" w:hAnsiTheme="majorHAnsi"/>
                <w:sz w:val="24"/>
                <w:szCs w:val="24"/>
              </w:rPr>
            </m:ctrlPr>
          </m:fPr>
          <m:num>
            <m:r>
              <m:rPr>
                <m:sty m:val="p"/>
              </m:rPr>
              <w:rPr>
                <w:rFonts w:asciiTheme="majorHAnsi" w:hAnsiTheme="majorHAnsi"/>
                <w:sz w:val="24"/>
                <w:szCs w:val="24"/>
              </w:rPr>
              <m:t>1</m:t>
            </m:r>
          </m:num>
          <m:den>
            <m:sSup>
              <m:sSupPr>
                <m:ctrlPr>
                  <w:rPr>
                    <w:rFonts w:asciiTheme="majorHAnsi" w:hAnsiTheme="majorHAnsi"/>
                    <w:sz w:val="24"/>
                    <w:szCs w:val="24"/>
                  </w:rPr>
                </m:ctrlPr>
              </m:sSupPr>
              <m:e>
                <m:r>
                  <m:rPr>
                    <m:sty m:val="p"/>
                  </m:rPr>
                  <w:rPr>
                    <w:rFonts w:asciiTheme="majorHAnsi" w:hAnsiTheme="majorHAnsi"/>
                    <w:sz w:val="24"/>
                    <w:szCs w:val="24"/>
                  </w:rPr>
                  <m:t>1.15</m:t>
                </m:r>
              </m:e>
              <m:sup>
                <m:r>
                  <m:rPr>
                    <m:sty m:val="p"/>
                  </m:rPr>
                  <w:rPr>
                    <w:rFonts w:asciiTheme="majorHAnsi" w:hAnsiTheme="majorHAnsi"/>
                    <w:sz w:val="24"/>
                    <w:szCs w:val="24"/>
                  </w:rPr>
                  <m:t>2</m:t>
                </m:r>
              </m:sup>
            </m:sSup>
          </m:den>
        </m:f>
        <m:r>
          <m:rPr>
            <m:sty m:val="p"/>
          </m:rPr>
          <w:rPr>
            <w:rFonts w:asciiTheme="majorHAnsi" w:hAnsiTheme="majorHAnsi"/>
            <w:sz w:val="24"/>
            <w:szCs w:val="24"/>
          </w:rPr>
          <m:t xml:space="preserve">+ </m:t>
        </m:r>
        <m:f>
          <m:fPr>
            <m:ctrlPr>
              <w:rPr>
                <w:rFonts w:asciiTheme="majorHAnsi" w:hAnsiTheme="majorHAnsi"/>
                <w:sz w:val="24"/>
                <w:szCs w:val="24"/>
              </w:rPr>
            </m:ctrlPr>
          </m:fPr>
          <m:num>
            <m:r>
              <m:rPr>
                <m:sty m:val="p"/>
              </m:rPr>
              <w:rPr>
                <w:rFonts w:asciiTheme="majorHAnsi" w:hAnsiTheme="majorHAnsi"/>
                <w:sz w:val="24"/>
                <w:szCs w:val="24"/>
              </w:rPr>
              <m:t>1</m:t>
            </m:r>
          </m:num>
          <m:den>
            <m:sSup>
              <m:sSupPr>
                <m:ctrlPr>
                  <w:rPr>
                    <w:rFonts w:asciiTheme="majorHAnsi" w:hAnsiTheme="majorHAnsi"/>
                    <w:sz w:val="24"/>
                    <w:szCs w:val="24"/>
                  </w:rPr>
                </m:ctrlPr>
              </m:sSupPr>
              <m:e>
                <m:r>
                  <m:rPr>
                    <m:sty m:val="p"/>
                  </m:rPr>
                  <w:rPr>
                    <w:rFonts w:asciiTheme="majorHAnsi" w:hAnsiTheme="majorHAnsi"/>
                    <w:sz w:val="24"/>
                    <w:szCs w:val="24"/>
                  </w:rPr>
                  <m:t>1.15</m:t>
                </m:r>
              </m:e>
              <m:sup>
                <m:r>
                  <m:rPr>
                    <m:sty m:val="p"/>
                  </m:rPr>
                  <w:rPr>
                    <w:rFonts w:asciiTheme="majorHAnsi" w:hAnsiTheme="majorHAnsi"/>
                    <w:sz w:val="24"/>
                    <w:szCs w:val="24"/>
                  </w:rPr>
                  <m:t>3</m:t>
                </m:r>
              </m:sup>
            </m:sSup>
          </m:den>
        </m:f>
        <m:r>
          <m:rPr>
            <m:sty m:val="p"/>
          </m:rPr>
          <w:rPr>
            <w:rFonts w:asciiTheme="majorHAnsi" w:hAnsiTheme="majorHAnsi"/>
            <w:sz w:val="24"/>
            <w:szCs w:val="24"/>
          </w:rPr>
          <m:t xml:space="preserve">+ </m:t>
        </m:r>
        <m:f>
          <m:fPr>
            <m:ctrlPr>
              <w:rPr>
                <w:rFonts w:asciiTheme="majorHAnsi" w:hAnsiTheme="majorHAnsi"/>
                <w:sz w:val="24"/>
                <w:szCs w:val="24"/>
              </w:rPr>
            </m:ctrlPr>
          </m:fPr>
          <m:num>
            <m:r>
              <m:rPr>
                <m:sty m:val="p"/>
              </m:rPr>
              <w:rPr>
                <w:rFonts w:asciiTheme="majorHAnsi" w:hAnsiTheme="majorHAnsi"/>
                <w:sz w:val="24"/>
                <w:szCs w:val="24"/>
              </w:rPr>
              <m:t>1</m:t>
            </m:r>
          </m:num>
          <m:den>
            <m:sSup>
              <m:sSupPr>
                <m:ctrlPr>
                  <w:rPr>
                    <w:rFonts w:asciiTheme="majorHAnsi" w:hAnsiTheme="majorHAnsi"/>
                    <w:sz w:val="24"/>
                    <w:szCs w:val="24"/>
                  </w:rPr>
                </m:ctrlPr>
              </m:sSupPr>
              <m:e>
                <m:r>
                  <m:rPr>
                    <m:sty m:val="p"/>
                  </m:rPr>
                  <w:rPr>
                    <w:rFonts w:asciiTheme="majorHAnsi" w:hAnsiTheme="majorHAnsi"/>
                    <w:sz w:val="24"/>
                    <w:szCs w:val="24"/>
                  </w:rPr>
                  <m:t>1.15</m:t>
                </m:r>
              </m:e>
              <m:sup>
                <m:r>
                  <m:rPr>
                    <m:sty m:val="p"/>
                  </m:rPr>
                  <w:rPr>
                    <w:rFonts w:asciiTheme="majorHAnsi" w:hAnsiTheme="majorHAnsi"/>
                    <w:sz w:val="24"/>
                    <w:szCs w:val="24"/>
                  </w:rPr>
                  <m:t>4</m:t>
                </m:r>
              </m:sup>
            </m:sSup>
          </m:den>
        </m:f>
        <m:r>
          <m:rPr>
            <m:sty m:val="p"/>
          </m:rPr>
          <w:rPr>
            <w:rFonts w:asciiTheme="majorHAnsi" w:hAnsiTheme="majorHAnsi"/>
            <w:sz w:val="24"/>
            <w:szCs w:val="24"/>
          </w:rPr>
          <m:t xml:space="preserve">+ </m:t>
        </m:r>
        <m:f>
          <m:fPr>
            <m:ctrlPr>
              <w:rPr>
                <w:rFonts w:asciiTheme="majorHAnsi" w:hAnsiTheme="majorHAnsi"/>
                <w:sz w:val="24"/>
                <w:szCs w:val="24"/>
              </w:rPr>
            </m:ctrlPr>
          </m:fPr>
          <m:num>
            <m:r>
              <m:rPr>
                <m:sty m:val="p"/>
              </m:rPr>
              <w:rPr>
                <w:rFonts w:asciiTheme="majorHAnsi" w:hAnsiTheme="majorHAnsi"/>
                <w:sz w:val="24"/>
                <w:szCs w:val="24"/>
              </w:rPr>
              <m:t>1</m:t>
            </m:r>
          </m:num>
          <m:den>
            <m:sSup>
              <m:sSupPr>
                <m:ctrlPr>
                  <w:rPr>
                    <w:rFonts w:asciiTheme="majorHAnsi" w:hAnsiTheme="majorHAnsi"/>
                    <w:sz w:val="24"/>
                    <w:szCs w:val="24"/>
                  </w:rPr>
                </m:ctrlPr>
              </m:sSupPr>
              <m:e>
                <m:r>
                  <m:rPr>
                    <m:sty m:val="p"/>
                  </m:rPr>
                  <w:rPr>
                    <w:rFonts w:asciiTheme="majorHAnsi" w:hAnsiTheme="majorHAnsi"/>
                    <w:sz w:val="24"/>
                    <w:szCs w:val="24"/>
                  </w:rPr>
                  <m:t>1.15</m:t>
                </m:r>
              </m:e>
              <m:sup>
                <m:r>
                  <m:rPr>
                    <m:sty m:val="p"/>
                  </m:rPr>
                  <w:rPr>
                    <w:rFonts w:asciiTheme="majorHAnsi" w:hAnsiTheme="majorHAnsi"/>
                    <w:sz w:val="24"/>
                    <w:szCs w:val="24"/>
                  </w:rPr>
                  <m:t>5</m:t>
                </m:r>
              </m:sup>
            </m:sSup>
          </m:den>
        </m:f>
      </m:oMath>
      <w:r w:rsidRPr="00C76412">
        <w:rPr>
          <w:rFonts w:asciiTheme="majorHAnsi" w:hAnsiTheme="majorHAnsi"/>
          <w:sz w:val="24"/>
          <w:szCs w:val="24"/>
        </w:rPr>
        <w:t>)</w:t>
      </w:r>
    </w:p>
    <w:p w:rsidR="00C76412" w:rsidRPr="00C76412" w:rsidRDefault="00C76412" w:rsidP="007712A2">
      <w:pPr>
        <w:spacing w:line="240" w:lineRule="auto"/>
        <w:jc w:val="both"/>
        <w:rPr>
          <w:rFonts w:asciiTheme="majorHAnsi" w:hAnsiTheme="majorHAnsi"/>
          <w:sz w:val="24"/>
          <w:szCs w:val="24"/>
        </w:rPr>
      </w:pPr>
      <w:r w:rsidRPr="00C76412">
        <w:rPr>
          <w:rFonts w:asciiTheme="majorHAnsi" w:hAnsiTheme="majorHAnsi"/>
          <w:sz w:val="24"/>
          <w:szCs w:val="24"/>
        </w:rPr>
        <w:t xml:space="preserve">                                          =4,218,426.5 </w:t>
      </w:r>
    </w:p>
    <w:p w:rsidR="00C76412" w:rsidRPr="00C76412" w:rsidRDefault="00C76412" w:rsidP="007712A2">
      <w:pPr>
        <w:spacing w:line="240" w:lineRule="auto"/>
        <w:jc w:val="both"/>
        <w:rPr>
          <w:rFonts w:asciiTheme="majorHAnsi" w:hAnsiTheme="majorHAnsi"/>
          <w:sz w:val="24"/>
          <w:szCs w:val="24"/>
        </w:rPr>
      </w:pPr>
      <w:r w:rsidRPr="00C76412">
        <w:rPr>
          <w:rFonts w:asciiTheme="majorHAnsi" w:hAnsiTheme="majorHAnsi"/>
          <w:sz w:val="24"/>
          <w:szCs w:val="24"/>
        </w:rPr>
        <w:t>NPV</w:t>
      </w:r>
      <w:r w:rsidRPr="00C76412">
        <w:rPr>
          <w:rFonts w:asciiTheme="majorHAnsi" w:hAnsiTheme="majorHAnsi"/>
          <w:sz w:val="24"/>
          <w:szCs w:val="24"/>
          <w:vertAlign w:val="subscript"/>
        </w:rPr>
        <w:t>pessimistic</w:t>
      </w:r>
      <w:r w:rsidRPr="00C76412">
        <w:rPr>
          <w:rFonts w:asciiTheme="majorHAnsi" w:hAnsiTheme="majorHAnsi"/>
          <w:sz w:val="24"/>
          <w:szCs w:val="24"/>
        </w:rPr>
        <w:t xml:space="preserve"> = -5,000,000 + 2,330,000* (</w:t>
      </w:r>
      <m:oMath>
        <m:f>
          <m:fPr>
            <m:ctrlPr>
              <w:rPr>
                <w:rFonts w:asciiTheme="majorHAnsi" w:hAnsiTheme="majorHAnsi"/>
                <w:sz w:val="24"/>
                <w:szCs w:val="24"/>
              </w:rPr>
            </m:ctrlPr>
          </m:fPr>
          <m:num>
            <m:r>
              <m:rPr>
                <m:sty m:val="p"/>
              </m:rPr>
              <w:rPr>
                <w:rFonts w:asciiTheme="majorHAnsi" w:hAnsiTheme="majorHAnsi"/>
                <w:sz w:val="24"/>
                <w:szCs w:val="24"/>
              </w:rPr>
              <m:t>1</m:t>
            </m:r>
          </m:num>
          <m:den>
            <m:sSup>
              <m:sSupPr>
                <m:ctrlPr>
                  <w:rPr>
                    <w:rFonts w:asciiTheme="majorHAnsi" w:hAnsiTheme="majorHAnsi"/>
                    <w:sz w:val="24"/>
                    <w:szCs w:val="24"/>
                  </w:rPr>
                </m:ctrlPr>
              </m:sSupPr>
              <m:e>
                <m:r>
                  <m:rPr>
                    <m:sty m:val="p"/>
                  </m:rPr>
                  <w:rPr>
                    <w:rFonts w:asciiTheme="majorHAnsi" w:hAnsiTheme="majorHAnsi"/>
                    <w:sz w:val="24"/>
                    <w:szCs w:val="24"/>
                  </w:rPr>
                  <m:t>1.15</m:t>
                </m:r>
              </m:e>
              <m:sup>
                <m:r>
                  <m:rPr>
                    <m:sty m:val="p"/>
                  </m:rPr>
                  <w:rPr>
                    <w:rFonts w:asciiTheme="majorHAnsi" w:hAnsiTheme="majorHAnsi"/>
                    <w:sz w:val="24"/>
                    <w:szCs w:val="24"/>
                  </w:rPr>
                  <m:t>1</m:t>
                </m:r>
              </m:sup>
            </m:sSup>
          </m:den>
        </m:f>
        <m:r>
          <m:rPr>
            <m:sty m:val="p"/>
          </m:rPr>
          <w:rPr>
            <w:rFonts w:asciiTheme="majorHAnsi" w:hAnsiTheme="majorHAnsi"/>
            <w:sz w:val="24"/>
            <w:szCs w:val="24"/>
          </w:rPr>
          <m:t xml:space="preserve">+ </m:t>
        </m:r>
        <m:f>
          <m:fPr>
            <m:ctrlPr>
              <w:rPr>
                <w:rFonts w:asciiTheme="majorHAnsi" w:hAnsiTheme="majorHAnsi"/>
                <w:sz w:val="24"/>
                <w:szCs w:val="24"/>
              </w:rPr>
            </m:ctrlPr>
          </m:fPr>
          <m:num>
            <m:r>
              <m:rPr>
                <m:sty m:val="p"/>
              </m:rPr>
              <w:rPr>
                <w:rFonts w:asciiTheme="majorHAnsi" w:hAnsiTheme="majorHAnsi"/>
                <w:sz w:val="24"/>
                <w:szCs w:val="24"/>
              </w:rPr>
              <m:t>1</m:t>
            </m:r>
          </m:num>
          <m:den>
            <m:sSup>
              <m:sSupPr>
                <m:ctrlPr>
                  <w:rPr>
                    <w:rFonts w:asciiTheme="majorHAnsi" w:hAnsiTheme="majorHAnsi"/>
                    <w:sz w:val="24"/>
                    <w:szCs w:val="24"/>
                  </w:rPr>
                </m:ctrlPr>
              </m:sSupPr>
              <m:e>
                <m:r>
                  <m:rPr>
                    <m:sty m:val="p"/>
                  </m:rPr>
                  <w:rPr>
                    <w:rFonts w:asciiTheme="majorHAnsi" w:hAnsiTheme="majorHAnsi"/>
                    <w:sz w:val="24"/>
                    <w:szCs w:val="24"/>
                  </w:rPr>
                  <m:t>1.15</m:t>
                </m:r>
              </m:e>
              <m:sup>
                <m:r>
                  <m:rPr>
                    <m:sty m:val="p"/>
                  </m:rPr>
                  <w:rPr>
                    <w:rFonts w:asciiTheme="majorHAnsi" w:hAnsiTheme="majorHAnsi"/>
                    <w:sz w:val="24"/>
                    <w:szCs w:val="24"/>
                  </w:rPr>
                  <m:t>2</m:t>
                </m:r>
              </m:sup>
            </m:sSup>
          </m:den>
        </m:f>
        <m:r>
          <m:rPr>
            <m:sty m:val="p"/>
          </m:rPr>
          <w:rPr>
            <w:rFonts w:asciiTheme="majorHAnsi" w:hAnsiTheme="majorHAnsi"/>
            <w:sz w:val="24"/>
            <w:szCs w:val="24"/>
          </w:rPr>
          <m:t xml:space="preserve">+ </m:t>
        </m:r>
        <m:f>
          <m:fPr>
            <m:ctrlPr>
              <w:rPr>
                <w:rFonts w:asciiTheme="majorHAnsi" w:hAnsiTheme="majorHAnsi"/>
                <w:sz w:val="24"/>
                <w:szCs w:val="24"/>
              </w:rPr>
            </m:ctrlPr>
          </m:fPr>
          <m:num>
            <m:r>
              <m:rPr>
                <m:sty m:val="p"/>
              </m:rPr>
              <w:rPr>
                <w:rFonts w:asciiTheme="majorHAnsi" w:hAnsiTheme="majorHAnsi"/>
                <w:sz w:val="24"/>
                <w:szCs w:val="24"/>
              </w:rPr>
              <m:t>1</m:t>
            </m:r>
          </m:num>
          <m:den>
            <m:sSup>
              <m:sSupPr>
                <m:ctrlPr>
                  <w:rPr>
                    <w:rFonts w:asciiTheme="majorHAnsi" w:hAnsiTheme="majorHAnsi"/>
                    <w:sz w:val="24"/>
                    <w:szCs w:val="24"/>
                  </w:rPr>
                </m:ctrlPr>
              </m:sSupPr>
              <m:e>
                <m:r>
                  <m:rPr>
                    <m:sty m:val="p"/>
                  </m:rPr>
                  <w:rPr>
                    <w:rFonts w:asciiTheme="majorHAnsi" w:hAnsiTheme="majorHAnsi"/>
                    <w:sz w:val="24"/>
                    <w:szCs w:val="24"/>
                  </w:rPr>
                  <m:t>1.15</m:t>
                </m:r>
              </m:e>
              <m:sup>
                <m:r>
                  <m:rPr>
                    <m:sty m:val="p"/>
                  </m:rPr>
                  <w:rPr>
                    <w:rFonts w:asciiTheme="majorHAnsi" w:hAnsiTheme="majorHAnsi"/>
                    <w:sz w:val="24"/>
                    <w:szCs w:val="24"/>
                  </w:rPr>
                  <m:t>3</m:t>
                </m:r>
              </m:sup>
            </m:sSup>
          </m:den>
        </m:f>
        <m:r>
          <m:rPr>
            <m:sty m:val="p"/>
          </m:rPr>
          <w:rPr>
            <w:rFonts w:asciiTheme="majorHAnsi" w:hAnsiTheme="majorHAnsi"/>
            <w:sz w:val="24"/>
            <w:szCs w:val="24"/>
          </w:rPr>
          <m:t xml:space="preserve">+ </m:t>
        </m:r>
        <m:f>
          <m:fPr>
            <m:ctrlPr>
              <w:rPr>
                <w:rFonts w:asciiTheme="majorHAnsi" w:hAnsiTheme="majorHAnsi"/>
                <w:sz w:val="24"/>
                <w:szCs w:val="24"/>
              </w:rPr>
            </m:ctrlPr>
          </m:fPr>
          <m:num>
            <m:r>
              <m:rPr>
                <m:sty m:val="p"/>
              </m:rPr>
              <w:rPr>
                <w:rFonts w:asciiTheme="majorHAnsi" w:hAnsiTheme="majorHAnsi"/>
                <w:sz w:val="24"/>
                <w:szCs w:val="24"/>
              </w:rPr>
              <m:t>1</m:t>
            </m:r>
          </m:num>
          <m:den>
            <m:sSup>
              <m:sSupPr>
                <m:ctrlPr>
                  <w:rPr>
                    <w:rFonts w:asciiTheme="majorHAnsi" w:hAnsiTheme="majorHAnsi"/>
                    <w:sz w:val="24"/>
                    <w:szCs w:val="24"/>
                  </w:rPr>
                </m:ctrlPr>
              </m:sSupPr>
              <m:e>
                <m:r>
                  <m:rPr>
                    <m:sty m:val="p"/>
                  </m:rPr>
                  <w:rPr>
                    <w:rFonts w:asciiTheme="majorHAnsi" w:hAnsiTheme="majorHAnsi"/>
                    <w:sz w:val="24"/>
                    <w:szCs w:val="24"/>
                  </w:rPr>
                  <m:t>1.15</m:t>
                </m:r>
              </m:e>
              <m:sup>
                <m:r>
                  <m:rPr>
                    <m:sty m:val="p"/>
                  </m:rPr>
                  <w:rPr>
                    <w:rFonts w:asciiTheme="majorHAnsi" w:hAnsiTheme="majorHAnsi"/>
                    <w:sz w:val="24"/>
                    <w:szCs w:val="24"/>
                  </w:rPr>
                  <m:t>4</m:t>
                </m:r>
              </m:sup>
            </m:sSup>
          </m:den>
        </m:f>
        <m:r>
          <m:rPr>
            <m:sty m:val="p"/>
          </m:rPr>
          <w:rPr>
            <w:rFonts w:asciiTheme="majorHAnsi" w:hAnsiTheme="majorHAnsi"/>
            <w:sz w:val="24"/>
            <w:szCs w:val="24"/>
          </w:rPr>
          <m:t xml:space="preserve">+ </m:t>
        </m:r>
        <m:f>
          <m:fPr>
            <m:ctrlPr>
              <w:rPr>
                <w:rFonts w:asciiTheme="majorHAnsi" w:hAnsiTheme="majorHAnsi"/>
                <w:sz w:val="24"/>
                <w:szCs w:val="24"/>
              </w:rPr>
            </m:ctrlPr>
          </m:fPr>
          <m:num>
            <m:r>
              <m:rPr>
                <m:sty m:val="p"/>
              </m:rPr>
              <w:rPr>
                <w:rFonts w:asciiTheme="majorHAnsi" w:hAnsiTheme="majorHAnsi"/>
                <w:sz w:val="24"/>
                <w:szCs w:val="24"/>
              </w:rPr>
              <m:t>1</m:t>
            </m:r>
          </m:num>
          <m:den>
            <m:sSup>
              <m:sSupPr>
                <m:ctrlPr>
                  <w:rPr>
                    <w:rFonts w:asciiTheme="majorHAnsi" w:hAnsiTheme="majorHAnsi"/>
                    <w:sz w:val="24"/>
                    <w:szCs w:val="24"/>
                  </w:rPr>
                </m:ctrlPr>
              </m:sSupPr>
              <m:e>
                <m:r>
                  <m:rPr>
                    <m:sty m:val="p"/>
                  </m:rPr>
                  <w:rPr>
                    <w:rFonts w:asciiTheme="majorHAnsi" w:hAnsiTheme="majorHAnsi"/>
                    <w:sz w:val="24"/>
                    <w:szCs w:val="24"/>
                  </w:rPr>
                  <m:t>1.15</m:t>
                </m:r>
              </m:e>
              <m:sup>
                <m:r>
                  <m:rPr>
                    <m:sty m:val="p"/>
                  </m:rPr>
                  <w:rPr>
                    <w:rFonts w:asciiTheme="majorHAnsi" w:hAnsiTheme="majorHAnsi"/>
                    <w:sz w:val="24"/>
                    <w:szCs w:val="24"/>
                  </w:rPr>
                  <m:t>5</m:t>
                </m:r>
              </m:sup>
            </m:sSup>
          </m:den>
        </m:f>
      </m:oMath>
      <w:r w:rsidRPr="00C76412">
        <w:rPr>
          <w:rFonts w:asciiTheme="majorHAnsi" w:hAnsiTheme="majorHAnsi"/>
          <w:sz w:val="24"/>
          <w:szCs w:val="24"/>
        </w:rPr>
        <w:t>)</w:t>
      </w:r>
      <w:r w:rsidRPr="00C76412">
        <w:rPr>
          <w:rFonts w:asciiTheme="majorHAnsi" w:hAnsiTheme="majorHAnsi"/>
          <w:sz w:val="24"/>
          <w:szCs w:val="24"/>
        </w:rPr>
        <w:tab/>
      </w:r>
    </w:p>
    <w:p w:rsidR="00C76412" w:rsidRPr="00C76412" w:rsidRDefault="00C76412" w:rsidP="007712A2">
      <w:pPr>
        <w:spacing w:line="240" w:lineRule="auto"/>
        <w:jc w:val="both"/>
        <w:rPr>
          <w:rFonts w:asciiTheme="majorHAnsi" w:hAnsiTheme="majorHAnsi"/>
          <w:sz w:val="24"/>
          <w:szCs w:val="24"/>
        </w:rPr>
      </w:pPr>
      <w:r w:rsidRPr="00C76412">
        <w:rPr>
          <w:rFonts w:asciiTheme="majorHAnsi" w:hAnsiTheme="majorHAnsi"/>
          <w:sz w:val="24"/>
          <w:szCs w:val="24"/>
        </w:rPr>
        <w:t xml:space="preserve">                                          =2,810,521</w:t>
      </w:r>
    </w:p>
    <w:p w:rsidR="00C76412" w:rsidRPr="00C76412" w:rsidRDefault="00C76412" w:rsidP="007712A2">
      <w:pPr>
        <w:spacing w:line="240" w:lineRule="auto"/>
        <w:jc w:val="both"/>
        <w:rPr>
          <w:rFonts w:asciiTheme="majorHAnsi" w:hAnsiTheme="majorHAnsi"/>
          <w:sz w:val="24"/>
          <w:szCs w:val="24"/>
        </w:rPr>
      </w:pPr>
      <w:r w:rsidRPr="00C76412">
        <w:rPr>
          <w:rFonts w:asciiTheme="majorHAnsi" w:hAnsiTheme="majorHAnsi"/>
          <w:sz w:val="24"/>
          <w:szCs w:val="24"/>
        </w:rPr>
        <w:t>NPV</w:t>
      </w:r>
      <w:r w:rsidRPr="00C76412">
        <w:rPr>
          <w:rFonts w:asciiTheme="majorHAnsi" w:hAnsiTheme="majorHAnsi"/>
          <w:sz w:val="24"/>
          <w:szCs w:val="24"/>
          <w:vertAlign w:val="subscript"/>
        </w:rPr>
        <w:t>optimistic</w:t>
      </w:r>
      <w:r w:rsidRPr="00C76412">
        <w:rPr>
          <w:rFonts w:asciiTheme="majorHAnsi" w:hAnsiTheme="majorHAnsi"/>
          <w:sz w:val="24"/>
          <w:szCs w:val="24"/>
        </w:rPr>
        <w:t xml:space="preserve"> = -5,000,000 + 3,170,000* (</w:t>
      </w:r>
      <m:oMath>
        <m:f>
          <m:fPr>
            <m:ctrlPr>
              <w:rPr>
                <w:rFonts w:asciiTheme="majorHAnsi" w:hAnsiTheme="majorHAnsi"/>
                <w:sz w:val="24"/>
                <w:szCs w:val="24"/>
              </w:rPr>
            </m:ctrlPr>
          </m:fPr>
          <m:num>
            <m:r>
              <m:rPr>
                <m:sty m:val="p"/>
              </m:rPr>
              <w:rPr>
                <w:rFonts w:asciiTheme="majorHAnsi" w:hAnsiTheme="majorHAnsi"/>
                <w:sz w:val="24"/>
                <w:szCs w:val="24"/>
              </w:rPr>
              <m:t>1</m:t>
            </m:r>
          </m:num>
          <m:den>
            <m:sSup>
              <m:sSupPr>
                <m:ctrlPr>
                  <w:rPr>
                    <w:rFonts w:asciiTheme="majorHAnsi" w:hAnsiTheme="majorHAnsi"/>
                    <w:sz w:val="24"/>
                    <w:szCs w:val="24"/>
                  </w:rPr>
                </m:ctrlPr>
              </m:sSupPr>
              <m:e>
                <m:r>
                  <m:rPr>
                    <m:sty m:val="p"/>
                  </m:rPr>
                  <w:rPr>
                    <w:rFonts w:asciiTheme="majorHAnsi" w:hAnsiTheme="majorHAnsi"/>
                    <w:sz w:val="24"/>
                    <w:szCs w:val="24"/>
                  </w:rPr>
                  <m:t>1.15</m:t>
                </m:r>
              </m:e>
              <m:sup>
                <m:r>
                  <m:rPr>
                    <m:sty m:val="p"/>
                  </m:rPr>
                  <w:rPr>
                    <w:rFonts w:asciiTheme="majorHAnsi" w:hAnsiTheme="majorHAnsi"/>
                    <w:sz w:val="24"/>
                    <w:szCs w:val="24"/>
                  </w:rPr>
                  <m:t>1</m:t>
                </m:r>
              </m:sup>
            </m:sSup>
          </m:den>
        </m:f>
        <m:r>
          <m:rPr>
            <m:sty m:val="p"/>
          </m:rPr>
          <w:rPr>
            <w:rFonts w:asciiTheme="majorHAnsi" w:hAnsiTheme="majorHAnsi"/>
            <w:sz w:val="24"/>
            <w:szCs w:val="24"/>
          </w:rPr>
          <m:t xml:space="preserve">+ </m:t>
        </m:r>
        <m:f>
          <m:fPr>
            <m:ctrlPr>
              <w:rPr>
                <w:rFonts w:asciiTheme="majorHAnsi" w:hAnsiTheme="majorHAnsi"/>
                <w:sz w:val="24"/>
                <w:szCs w:val="24"/>
              </w:rPr>
            </m:ctrlPr>
          </m:fPr>
          <m:num>
            <m:r>
              <m:rPr>
                <m:sty m:val="p"/>
              </m:rPr>
              <w:rPr>
                <w:rFonts w:asciiTheme="majorHAnsi" w:hAnsiTheme="majorHAnsi"/>
                <w:sz w:val="24"/>
                <w:szCs w:val="24"/>
              </w:rPr>
              <m:t>1</m:t>
            </m:r>
          </m:num>
          <m:den>
            <m:sSup>
              <m:sSupPr>
                <m:ctrlPr>
                  <w:rPr>
                    <w:rFonts w:asciiTheme="majorHAnsi" w:hAnsiTheme="majorHAnsi"/>
                    <w:sz w:val="24"/>
                    <w:szCs w:val="24"/>
                  </w:rPr>
                </m:ctrlPr>
              </m:sSupPr>
              <m:e>
                <m:r>
                  <m:rPr>
                    <m:sty m:val="p"/>
                  </m:rPr>
                  <w:rPr>
                    <w:rFonts w:asciiTheme="majorHAnsi" w:hAnsiTheme="majorHAnsi"/>
                    <w:sz w:val="24"/>
                    <w:szCs w:val="24"/>
                  </w:rPr>
                  <m:t>1.15</m:t>
                </m:r>
              </m:e>
              <m:sup>
                <m:r>
                  <m:rPr>
                    <m:sty m:val="p"/>
                  </m:rPr>
                  <w:rPr>
                    <w:rFonts w:asciiTheme="majorHAnsi" w:hAnsiTheme="majorHAnsi"/>
                    <w:sz w:val="24"/>
                    <w:szCs w:val="24"/>
                  </w:rPr>
                  <m:t>2</m:t>
                </m:r>
              </m:sup>
            </m:sSup>
          </m:den>
        </m:f>
        <m:r>
          <m:rPr>
            <m:sty m:val="p"/>
          </m:rPr>
          <w:rPr>
            <w:rFonts w:asciiTheme="majorHAnsi" w:hAnsiTheme="majorHAnsi"/>
            <w:sz w:val="24"/>
            <w:szCs w:val="24"/>
          </w:rPr>
          <m:t xml:space="preserve">+ </m:t>
        </m:r>
        <m:f>
          <m:fPr>
            <m:ctrlPr>
              <w:rPr>
                <w:rFonts w:asciiTheme="majorHAnsi" w:hAnsiTheme="majorHAnsi"/>
                <w:sz w:val="24"/>
                <w:szCs w:val="24"/>
              </w:rPr>
            </m:ctrlPr>
          </m:fPr>
          <m:num>
            <m:r>
              <m:rPr>
                <m:sty m:val="p"/>
              </m:rPr>
              <w:rPr>
                <w:rFonts w:asciiTheme="majorHAnsi" w:hAnsiTheme="majorHAnsi"/>
                <w:sz w:val="24"/>
                <w:szCs w:val="24"/>
              </w:rPr>
              <m:t>1</m:t>
            </m:r>
          </m:num>
          <m:den>
            <m:sSup>
              <m:sSupPr>
                <m:ctrlPr>
                  <w:rPr>
                    <w:rFonts w:asciiTheme="majorHAnsi" w:hAnsiTheme="majorHAnsi"/>
                    <w:sz w:val="24"/>
                    <w:szCs w:val="24"/>
                  </w:rPr>
                </m:ctrlPr>
              </m:sSupPr>
              <m:e>
                <m:r>
                  <m:rPr>
                    <m:sty m:val="p"/>
                  </m:rPr>
                  <w:rPr>
                    <w:rFonts w:asciiTheme="majorHAnsi" w:hAnsiTheme="majorHAnsi"/>
                    <w:sz w:val="24"/>
                    <w:szCs w:val="24"/>
                  </w:rPr>
                  <m:t>1.15</m:t>
                </m:r>
              </m:e>
              <m:sup>
                <m:r>
                  <m:rPr>
                    <m:sty m:val="p"/>
                  </m:rPr>
                  <w:rPr>
                    <w:rFonts w:asciiTheme="majorHAnsi" w:hAnsiTheme="majorHAnsi"/>
                    <w:sz w:val="24"/>
                    <w:szCs w:val="24"/>
                  </w:rPr>
                  <m:t>3</m:t>
                </m:r>
              </m:sup>
            </m:sSup>
          </m:den>
        </m:f>
        <m:r>
          <m:rPr>
            <m:sty m:val="p"/>
          </m:rPr>
          <w:rPr>
            <w:rFonts w:asciiTheme="majorHAnsi" w:hAnsiTheme="majorHAnsi"/>
            <w:sz w:val="24"/>
            <w:szCs w:val="24"/>
          </w:rPr>
          <m:t xml:space="preserve">+ </m:t>
        </m:r>
        <m:f>
          <m:fPr>
            <m:ctrlPr>
              <w:rPr>
                <w:rFonts w:asciiTheme="majorHAnsi" w:hAnsiTheme="majorHAnsi"/>
                <w:sz w:val="24"/>
                <w:szCs w:val="24"/>
              </w:rPr>
            </m:ctrlPr>
          </m:fPr>
          <m:num>
            <m:r>
              <m:rPr>
                <m:sty m:val="p"/>
              </m:rPr>
              <w:rPr>
                <w:rFonts w:asciiTheme="majorHAnsi" w:hAnsiTheme="majorHAnsi"/>
                <w:sz w:val="24"/>
                <w:szCs w:val="24"/>
              </w:rPr>
              <m:t>1</m:t>
            </m:r>
          </m:num>
          <m:den>
            <m:sSup>
              <m:sSupPr>
                <m:ctrlPr>
                  <w:rPr>
                    <w:rFonts w:asciiTheme="majorHAnsi" w:hAnsiTheme="majorHAnsi"/>
                    <w:sz w:val="24"/>
                    <w:szCs w:val="24"/>
                  </w:rPr>
                </m:ctrlPr>
              </m:sSupPr>
              <m:e>
                <m:r>
                  <m:rPr>
                    <m:sty m:val="p"/>
                  </m:rPr>
                  <w:rPr>
                    <w:rFonts w:asciiTheme="majorHAnsi" w:hAnsiTheme="majorHAnsi"/>
                    <w:sz w:val="24"/>
                    <w:szCs w:val="24"/>
                  </w:rPr>
                  <m:t>1.15</m:t>
                </m:r>
              </m:e>
              <m:sup>
                <m:r>
                  <m:rPr>
                    <m:sty m:val="p"/>
                  </m:rPr>
                  <w:rPr>
                    <w:rFonts w:asciiTheme="majorHAnsi" w:hAnsiTheme="majorHAnsi"/>
                    <w:sz w:val="24"/>
                    <w:szCs w:val="24"/>
                  </w:rPr>
                  <m:t>4</m:t>
                </m:r>
              </m:sup>
            </m:sSup>
          </m:den>
        </m:f>
        <m:r>
          <m:rPr>
            <m:sty m:val="p"/>
          </m:rPr>
          <w:rPr>
            <w:rFonts w:asciiTheme="majorHAnsi" w:hAnsiTheme="majorHAnsi"/>
            <w:sz w:val="24"/>
            <w:szCs w:val="24"/>
          </w:rPr>
          <m:t xml:space="preserve">+ </m:t>
        </m:r>
        <m:f>
          <m:fPr>
            <m:ctrlPr>
              <w:rPr>
                <w:rFonts w:asciiTheme="majorHAnsi" w:hAnsiTheme="majorHAnsi"/>
                <w:sz w:val="24"/>
                <w:szCs w:val="24"/>
              </w:rPr>
            </m:ctrlPr>
          </m:fPr>
          <m:num>
            <m:r>
              <m:rPr>
                <m:sty m:val="p"/>
              </m:rPr>
              <w:rPr>
                <w:rFonts w:asciiTheme="majorHAnsi" w:hAnsiTheme="majorHAnsi"/>
                <w:sz w:val="24"/>
                <w:szCs w:val="24"/>
              </w:rPr>
              <m:t>1</m:t>
            </m:r>
          </m:num>
          <m:den>
            <m:sSup>
              <m:sSupPr>
                <m:ctrlPr>
                  <w:rPr>
                    <w:rFonts w:asciiTheme="majorHAnsi" w:hAnsiTheme="majorHAnsi"/>
                    <w:sz w:val="24"/>
                    <w:szCs w:val="24"/>
                  </w:rPr>
                </m:ctrlPr>
              </m:sSupPr>
              <m:e>
                <m:r>
                  <m:rPr>
                    <m:sty m:val="p"/>
                  </m:rPr>
                  <w:rPr>
                    <w:rFonts w:asciiTheme="majorHAnsi" w:hAnsiTheme="majorHAnsi"/>
                    <w:sz w:val="24"/>
                    <w:szCs w:val="24"/>
                  </w:rPr>
                  <m:t>1.15</m:t>
                </m:r>
              </m:e>
              <m:sup>
                <m:r>
                  <m:rPr>
                    <m:sty m:val="p"/>
                  </m:rPr>
                  <w:rPr>
                    <w:rFonts w:asciiTheme="majorHAnsi" w:hAnsiTheme="majorHAnsi"/>
                    <w:sz w:val="24"/>
                    <w:szCs w:val="24"/>
                  </w:rPr>
                  <m:t>5</m:t>
                </m:r>
              </m:sup>
            </m:sSup>
          </m:den>
        </m:f>
      </m:oMath>
      <w:r w:rsidRPr="00C76412">
        <w:rPr>
          <w:rFonts w:asciiTheme="majorHAnsi" w:hAnsiTheme="majorHAnsi"/>
          <w:sz w:val="24"/>
          <w:szCs w:val="24"/>
        </w:rPr>
        <w:t>)</w:t>
      </w:r>
    </w:p>
    <w:p w:rsidR="00C76412" w:rsidRPr="00C76412" w:rsidRDefault="00C76412" w:rsidP="007712A2">
      <w:pPr>
        <w:spacing w:line="240" w:lineRule="auto"/>
        <w:jc w:val="both"/>
        <w:rPr>
          <w:rFonts w:asciiTheme="majorHAnsi" w:hAnsiTheme="majorHAnsi"/>
          <w:sz w:val="24"/>
          <w:szCs w:val="24"/>
        </w:rPr>
      </w:pPr>
      <w:r w:rsidRPr="00C76412">
        <w:rPr>
          <w:rFonts w:asciiTheme="majorHAnsi" w:hAnsiTheme="majorHAnsi"/>
          <w:sz w:val="24"/>
          <w:szCs w:val="24"/>
        </w:rPr>
        <w:t xml:space="preserve">                                          =5,626,332</w:t>
      </w:r>
    </w:p>
    <w:p w:rsidR="00C76412" w:rsidRPr="00C76412" w:rsidRDefault="00C76412" w:rsidP="00C76412">
      <w:pPr>
        <w:spacing w:line="360" w:lineRule="auto"/>
        <w:rPr>
          <w:rFonts w:asciiTheme="majorHAnsi" w:hAnsiTheme="majorHAnsi"/>
          <w:sz w:val="24"/>
          <w:szCs w:val="24"/>
        </w:rPr>
      </w:pPr>
      <w:r w:rsidRPr="00C76412">
        <w:rPr>
          <w:rFonts w:asciiTheme="majorHAnsi" w:hAnsiTheme="majorHAnsi"/>
          <w:sz w:val="24"/>
          <w:szCs w:val="24"/>
        </w:rPr>
        <w:t>It is evident that even in case of pessimistic situation the NPV of the project is positive which also provide support to the company to go for New Product Development.</w:t>
      </w:r>
    </w:p>
    <w:p w:rsidR="00C76412" w:rsidRPr="00C76412" w:rsidRDefault="00C76412" w:rsidP="00C76412">
      <w:pPr>
        <w:spacing w:line="360" w:lineRule="auto"/>
        <w:rPr>
          <w:rFonts w:asciiTheme="majorHAnsi" w:hAnsiTheme="majorHAnsi"/>
          <w:sz w:val="24"/>
          <w:szCs w:val="24"/>
        </w:rPr>
      </w:pPr>
      <w:r w:rsidRPr="00C76412">
        <w:rPr>
          <w:rFonts w:asciiTheme="majorHAnsi" w:hAnsiTheme="majorHAnsi"/>
          <w:sz w:val="24"/>
          <w:szCs w:val="24"/>
        </w:rPr>
        <w:t xml:space="preserve">Now we can calculate the future stock price for these three scenarios using the new share price finding process shown earlier in this chapter. </w:t>
      </w:r>
    </w:p>
    <w:p w:rsidR="00C76412" w:rsidRPr="00C76412" w:rsidRDefault="00C76412" w:rsidP="00316209">
      <w:pPr>
        <w:spacing w:line="240" w:lineRule="auto"/>
        <w:rPr>
          <w:rFonts w:asciiTheme="majorHAnsi" w:hAnsiTheme="majorHAnsi"/>
          <w:sz w:val="24"/>
          <w:szCs w:val="24"/>
        </w:rPr>
      </w:pPr>
      <w:r w:rsidRPr="00C76412">
        <w:rPr>
          <w:rFonts w:asciiTheme="majorHAnsi" w:hAnsiTheme="majorHAnsi"/>
          <w:sz w:val="24"/>
          <w:szCs w:val="24"/>
        </w:rPr>
        <w:t>Expected Share Price =  (1669.75*90,000 +4,218,426.5) / 90,000 = 1716.62Tk</w:t>
      </w:r>
    </w:p>
    <w:p w:rsidR="00C76412" w:rsidRPr="00C76412" w:rsidRDefault="00C76412" w:rsidP="00316209">
      <w:pPr>
        <w:spacing w:line="240" w:lineRule="auto"/>
        <w:rPr>
          <w:rFonts w:asciiTheme="majorHAnsi" w:hAnsiTheme="majorHAnsi"/>
          <w:sz w:val="24"/>
          <w:szCs w:val="24"/>
        </w:rPr>
      </w:pPr>
      <w:r w:rsidRPr="00C76412">
        <w:rPr>
          <w:rFonts w:asciiTheme="majorHAnsi" w:hAnsiTheme="majorHAnsi"/>
          <w:sz w:val="24"/>
          <w:szCs w:val="24"/>
        </w:rPr>
        <w:t>Pessimistic share price = (1669.75*90,000 + 2,810,521) / 90,000 = 1700.98 Tk</w:t>
      </w:r>
    </w:p>
    <w:p w:rsidR="00C76412" w:rsidRPr="00C76412" w:rsidRDefault="00C76412" w:rsidP="00316209">
      <w:pPr>
        <w:spacing w:line="240" w:lineRule="auto"/>
        <w:rPr>
          <w:rFonts w:asciiTheme="majorHAnsi" w:hAnsiTheme="majorHAnsi"/>
          <w:sz w:val="24"/>
          <w:szCs w:val="24"/>
        </w:rPr>
      </w:pPr>
      <w:r w:rsidRPr="00C76412">
        <w:rPr>
          <w:rFonts w:asciiTheme="majorHAnsi" w:hAnsiTheme="majorHAnsi"/>
          <w:sz w:val="24"/>
          <w:szCs w:val="24"/>
        </w:rPr>
        <w:t>Optimistic share price = (1669.75*90,000 + 5,626,332) / 90,000 = 1732.26Tk.</w:t>
      </w:r>
    </w:p>
    <w:p w:rsidR="00C76412" w:rsidRPr="00C76412" w:rsidRDefault="00C76412" w:rsidP="00C76412">
      <w:pPr>
        <w:spacing w:line="360" w:lineRule="auto"/>
        <w:rPr>
          <w:rFonts w:asciiTheme="majorHAnsi" w:hAnsiTheme="majorHAnsi"/>
          <w:sz w:val="24"/>
          <w:szCs w:val="24"/>
        </w:rPr>
      </w:pPr>
      <w:r w:rsidRPr="00C76412">
        <w:rPr>
          <w:rFonts w:asciiTheme="majorHAnsi" w:hAnsiTheme="majorHAnsi"/>
          <w:sz w:val="24"/>
          <w:szCs w:val="24"/>
        </w:rPr>
        <w:t>Let’s look at the graph to understand the stock price movement in different scenario:-</w:t>
      </w:r>
    </w:p>
    <w:p w:rsidR="00EF1E93" w:rsidRDefault="00C76412" w:rsidP="00EF1E93">
      <w:pPr>
        <w:spacing w:line="360" w:lineRule="auto"/>
        <w:jc w:val="center"/>
        <w:rPr>
          <w:sz w:val="28"/>
          <w:szCs w:val="28"/>
        </w:rPr>
      </w:pPr>
      <w:r w:rsidRPr="003B0708">
        <w:rPr>
          <w:noProof/>
          <w:sz w:val="28"/>
          <w:szCs w:val="28"/>
          <w:lang w:bidi="bn-BD"/>
        </w:rPr>
        <w:drawing>
          <wp:inline distT="0" distB="0" distL="0" distR="0">
            <wp:extent cx="3983606" cy="2017946"/>
            <wp:effectExtent l="19050" t="0" r="16894" b="1354"/>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712A2" w:rsidRDefault="00316209" w:rsidP="007712A2">
      <w:pPr>
        <w:spacing w:line="360" w:lineRule="auto"/>
        <w:jc w:val="center"/>
        <w:rPr>
          <w:sz w:val="16"/>
          <w:szCs w:val="16"/>
          <w:u w:val="single"/>
        </w:rPr>
      </w:pPr>
      <w:r w:rsidRPr="00316209">
        <w:rPr>
          <w:sz w:val="16"/>
          <w:szCs w:val="16"/>
          <w:u w:val="single"/>
        </w:rPr>
        <w:t>Figure: Share price projection in Different Scenario</w:t>
      </w:r>
    </w:p>
    <w:p w:rsidR="00C76412" w:rsidRPr="007712A2" w:rsidRDefault="00C76412" w:rsidP="007712A2">
      <w:pPr>
        <w:spacing w:line="240" w:lineRule="auto"/>
        <w:rPr>
          <w:sz w:val="16"/>
          <w:szCs w:val="16"/>
          <w:u w:val="single"/>
        </w:rPr>
      </w:pPr>
      <w:r w:rsidRPr="00C9404D">
        <w:rPr>
          <w:sz w:val="28"/>
          <w:szCs w:val="28"/>
        </w:rPr>
        <w:t>We can see that according to NPV the future market price of the company changes.</w:t>
      </w:r>
      <w:r>
        <w:rPr>
          <w:sz w:val="28"/>
          <w:szCs w:val="28"/>
        </w:rPr>
        <w:t xml:space="preserve"> </w:t>
      </w:r>
    </w:p>
    <w:p w:rsidR="00C76412" w:rsidRDefault="00C76412" w:rsidP="00912431">
      <w:pPr>
        <w:rPr>
          <w:rFonts w:asciiTheme="majorHAnsi" w:hAnsiTheme="majorHAnsi"/>
          <w:sz w:val="24"/>
          <w:szCs w:val="24"/>
        </w:rPr>
      </w:pPr>
    </w:p>
    <w:p w:rsidR="002C3898" w:rsidRPr="00524C24" w:rsidRDefault="002C3898" w:rsidP="002C3898">
      <w:pPr>
        <w:tabs>
          <w:tab w:val="left" w:pos="2880"/>
        </w:tabs>
        <w:spacing w:line="360" w:lineRule="auto"/>
        <w:jc w:val="both"/>
        <w:rPr>
          <w:rFonts w:asciiTheme="majorHAnsi" w:hAnsiTheme="majorHAnsi"/>
          <w:b/>
          <w:sz w:val="36"/>
          <w:szCs w:val="36"/>
          <w:u w:val="single"/>
        </w:rPr>
      </w:pPr>
      <w:r w:rsidRPr="00524C24">
        <w:rPr>
          <w:rFonts w:asciiTheme="majorHAnsi" w:hAnsiTheme="majorHAnsi"/>
          <w:b/>
          <w:sz w:val="36"/>
          <w:szCs w:val="36"/>
          <w:u w:val="single"/>
        </w:rPr>
        <w:lastRenderedPageBreak/>
        <w:t>Chapter 5</w:t>
      </w:r>
    </w:p>
    <w:p w:rsidR="002C3898" w:rsidRPr="00524C24" w:rsidRDefault="002C3898" w:rsidP="002C3898">
      <w:pPr>
        <w:tabs>
          <w:tab w:val="left" w:pos="2880"/>
        </w:tabs>
        <w:spacing w:line="360" w:lineRule="auto"/>
        <w:jc w:val="both"/>
        <w:rPr>
          <w:rFonts w:asciiTheme="majorHAnsi" w:hAnsiTheme="majorHAnsi"/>
          <w:b/>
          <w:sz w:val="24"/>
          <w:szCs w:val="24"/>
          <w:u w:val="single"/>
        </w:rPr>
      </w:pPr>
      <w:r w:rsidRPr="00524C24">
        <w:rPr>
          <w:rFonts w:asciiTheme="majorHAnsi" w:hAnsiTheme="majorHAnsi"/>
          <w:b/>
          <w:sz w:val="24"/>
          <w:szCs w:val="24"/>
          <w:u w:val="single"/>
        </w:rPr>
        <w:t>Prospective Analysis</w:t>
      </w:r>
    </w:p>
    <w:p w:rsidR="002C3898" w:rsidRPr="00EC6CB6" w:rsidRDefault="002C3898" w:rsidP="002C3898">
      <w:pPr>
        <w:tabs>
          <w:tab w:val="left" w:pos="2880"/>
        </w:tabs>
        <w:spacing w:line="360" w:lineRule="auto"/>
        <w:jc w:val="both"/>
        <w:rPr>
          <w:rFonts w:asciiTheme="majorHAnsi" w:hAnsiTheme="majorHAnsi"/>
        </w:rPr>
      </w:pPr>
      <w:r w:rsidRPr="00EC6CB6">
        <w:rPr>
          <w:rFonts w:asciiTheme="majorHAnsi" w:hAnsiTheme="majorHAnsi"/>
        </w:rPr>
        <w:t xml:space="preserve">In this chapter, we made projection of the share price based on current and future projected growth rate. The future is uncertain; due to this we have to make a scenario analysis. We have used sustainable growth rate to compare a firm’s sustainable growth rate with their actual growth rate. The sustainable growth rate is equal for all the consecutive years. Sustainable growth rate is calculated by using the following formula:     </w:t>
      </w:r>
    </w:p>
    <w:p w:rsidR="002C3898" w:rsidRPr="00EC6CB6" w:rsidRDefault="002C3898" w:rsidP="002C3898">
      <w:pPr>
        <w:tabs>
          <w:tab w:val="left" w:pos="2880"/>
        </w:tabs>
        <w:spacing w:line="360" w:lineRule="auto"/>
        <w:jc w:val="center"/>
        <w:rPr>
          <w:rFonts w:asciiTheme="majorHAnsi" w:hAnsiTheme="majorHAnsi" w:cs="Times New Roman"/>
          <w:b/>
          <w:bCs/>
          <w:smallCaps/>
        </w:rPr>
      </w:pPr>
      <w:r w:rsidRPr="00EC6CB6">
        <w:rPr>
          <w:rFonts w:asciiTheme="majorHAnsi" w:hAnsiTheme="majorHAnsi"/>
          <w:noProof/>
          <w:lang w:bidi="bn-BD"/>
        </w:rPr>
        <w:drawing>
          <wp:inline distT="0" distB="0" distL="0" distR="0">
            <wp:extent cx="3080107" cy="983411"/>
            <wp:effectExtent l="19050" t="0" r="5993"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l="28847" t="43590" r="40384" b="41026"/>
                    <a:stretch>
                      <a:fillRect/>
                    </a:stretch>
                  </pic:blipFill>
                  <pic:spPr bwMode="auto">
                    <a:xfrm>
                      <a:off x="0" y="0"/>
                      <a:ext cx="3079750" cy="983297"/>
                    </a:xfrm>
                    <a:prstGeom prst="rect">
                      <a:avLst/>
                    </a:prstGeom>
                    <a:noFill/>
                    <a:ln w="9525">
                      <a:noFill/>
                      <a:miter lim="800000"/>
                      <a:headEnd/>
                      <a:tailEnd/>
                    </a:ln>
                  </pic:spPr>
                </pic:pic>
              </a:graphicData>
            </a:graphic>
          </wp:inline>
        </w:drawing>
      </w:r>
    </w:p>
    <w:p w:rsidR="002C3898" w:rsidRPr="00EC6CB6" w:rsidRDefault="002C3898" w:rsidP="002C3898">
      <w:pPr>
        <w:tabs>
          <w:tab w:val="left" w:pos="2880"/>
        </w:tabs>
        <w:spacing w:line="360" w:lineRule="auto"/>
        <w:jc w:val="both"/>
        <w:rPr>
          <w:rFonts w:asciiTheme="majorHAnsi" w:hAnsiTheme="majorHAnsi" w:cs="Times New Roman"/>
          <w:bCs/>
          <w:smallCaps/>
        </w:rPr>
      </w:pPr>
      <w:r w:rsidRPr="00EC6CB6">
        <w:rPr>
          <w:rFonts w:asciiTheme="majorHAnsi" w:hAnsiTheme="majorHAnsi" w:cs="Times New Roman"/>
          <w:b/>
          <w:bCs/>
          <w:smallCaps/>
        </w:rPr>
        <w:t xml:space="preserve">                                                             = </w:t>
      </w:r>
      <m:oMath>
        <m:f>
          <m:fPr>
            <m:ctrlPr>
              <w:rPr>
                <w:rFonts w:asciiTheme="majorHAnsi" w:hAnsiTheme="majorHAnsi" w:cs="Times New Roman"/>
                <w:bCs/>
                <w:smallCaps/>
              </w:rPr>
            </m:ctrlPr>
          </m:fPr>
          <m:num>
            <m:r>
              <m:rPr>
                <m:sty m:val="p"/>
              </m:rPr>
              <w:rPr>
                <w:rFonts w:asciiTheme="majorHAnsi" w:hAnsiTheme="majorHAnsi" w:cs="Times New Roman"/>
                <w:smallCaps/>
              </w:rPr>
              <m:t>0.0146 x 0.1186 x (1+4.629)</m:t>
            </m:r>
          </m:num>
          <m:den>
            <m:r>
              <m:rPr>
                <m:sty m:val="p"/>
              </m:rPr>
              <w:rPr>
                <w:rFonts w:asciiTheme="majorHAnsi" w:hAnsiTheme="majorHAnsi" w:cs="Cambria Math"/>
                <w:smallCaps/>
              </w:rPr>
              <m:t>0.79957-{</m:t>
            </m:r>
            <m:r>
              <m:rPr>
                <m:sty m:val="p"/>
              </m:rPr>
              <w:rPr>
                <w:rFonts w:asciiTheme="majorHAnsi" w:hAnsiTheme="majorHAnsi" w:cs="Times New Roman"/>
                <w:smallCaps/>
              </w:rPr>
              <m:t>0.0146 x 0.1186 x (1+4.629)</m:t>
            </m:r>
            <m:r>
              <m:rPr>
                <m:sty m:val="p"/>
              </m:rPr>
              <w:rPr>
                <w:rFonts w:asciiTheme="majorHAnsi" w:hAnsiTheme="majorHAnsi" w:cs="Cambria Math"/>
                <w:smallCaps/>
              </w:rPr>
              <m:t>}</m:t>
            </m:r>
          </m:den>
        </m:f>
      </m:oMath>
    </w:p>
    <w:p w:rsidR="002C3898" w:rsidRPr="00EC6CB6" w:rsidRDefault="002C3898" w:rsidP="002C3898">
      <w:pPr>
        <w:tabs>
          <w:tab w:val="left" w:pos="2880"/>
        </w:tabs>
        <w:spacing w:line="360" w:lineRule="auto"/>
        <w:jc w:val="both"/>
        <w:rPr>
          <w:rFonts w:asciiTheme="majorHAnsi" w:hAnsiTheme="majorHAnsi" w:cs="Times New Roman"/>
          <w:b/>
          <w:bCs/>
          <w:smallCaps/>
        </w:rPr>
      </w:pPr>
    </w:p>
    <w:p w:rsidR="002C3898" w:rsidRPr="00EC6CB6" w:rsidRDefault="002C3898" w:rsidP="002C3898">
      <w:pPr>
        <w:tabs>
          <w:tab w:val="left" w:pos="2880"/>
        </w:tabs>
        <w:spacing w:line="360" w:lineRule="auto"/>
        <w:jc w:val="both"/>
        <w:rPr>
          <w:rFonts w:asciiTheme="majorHAnsi" w:hAnsiTheme="majorHAnsi"/>
        </w:rPr>
      </w:pPr>
      <w:r w:rsidRPr="00EC6CB6">
        <w:rPr>
          <w:rFonts w:asciiTheme="majorHAnsi" w:hAnsiTheme="majorHAnsi"/>
        </w:rPr>
        <w:tab/>
      </w:r>
      <w:r w:rsidRPr="00EC6CB6">
        <w:rPr>
          <w:rFonts w:asciiTheme="majorHAnsi" w:hAnsiTheme="majorHAnsi"/>
        </w:rPr>
        <w:tab/>
      </w:r>
      <w:r w:rsidRPr="00EC6CB6">
        <w:rPr>
          <w:rFonts w:asciiTheme="majorHAnsi" w:hAnsiTheme="majorHAnsi"/>
        </w:rPr>
        <w:tab/>
      </w:r>
      <w:r w:rsidRPr="00EC6CB6">
        <w:rPr>
          <w:rFonts w:asciiTheme="majorHAnsi" w:hAnsiTheme="majorHAnsi"/>
        </w:rPr>
        <w:tab/>
        <w:t>=</w:t>
      </w:r>
      <m:oMath>
        <m:f>
          <m:fPr>
            <m:ctrlPr>
              <w:rPr>
                <w:rFonts w:asciiTheme="majorHAnsi" w:hAnsiTheme="majorHAnsi" w:cs="Times New Roman"/>
                <w:bCs/>
                <w:smallCaps/>
              </w:rPr>
            </m:ctrlPr>
          </m:fPr>
          <m:num>
            <m:r>
              <m:rPr>
                <m:sty m:val="p"/>
              </m:rPr>
              <w:rPr>
                <w:rFonts w:asciiTheme="majorHAnsi" w:hAnsiTheme="majorHAnsi" w:cs="Times New Roman"/>
                <w:smallCaps/>
              </w:rPr>
              <m:t>0.009747</m:t>
            </m:r>
          </m:num>
          <m:den>
            <m:r>
              <m:rPr>
                <m:sty m:val="p"/>
              </m:rPr>
              <w:rPr>
                <w:rFonts w:asciiTheme="majorHAnsi" w:hAnsiTheme="majorHAnsi" w:cs="Cambria Math"/>
                <w:smallCaps/>
              </w:rPr>
              <m:t>0.7898</m:t>
            </m:r>
          </m:den>
        </m:f>
      </m:oMath>
    </w:p>
    <w:p w:rsidR="002C3898" w:rsidRPr="00EC6CB6" w:rsidRDefault="002C3898" w:rsidP="002C3898">
      <w:pPr>
        <w:tabs>
          <w:tab w:val="left" w:pos="2880"/>
        </w:tabs>
        <w:spacing w:line="360" w:lineRule="auto"/>
        <w:jc w:val="both"/>
        <w:rPr>
          <w:rFonts w:asciiTheme="majorHAnsi" w:hAnsiTheme="majorHAnsi"/>
        </w:rPr>
      </w:pPr>
      <w:r w:rsidRPr="00EC6CB6">
        <w:rPr>
          <w:rFonts w:asciiTheme="majorHAnsi" w:hAnsiTheme="majorHAnsi"/>
        </w:rPr>
        <w:tab/>
      </w:r>
      <w:r w:rsidRPr="00EC6CB6">
        <w:rPr>
          <w:rFonts w:asciiTheme="majorHAnsi" w:hAnsiTheme="majorHAnsi"/>
        </w:rPr>
        <w:tab/>
      </w:r>
      <w:r w:rsidRPr="00EC6CB6">
        <w:rPr>
          <w:rFonts w:asciiTheme="majorHAnsi" w:hAnsiTheme="majorHAnsi"/>
        </w:rPr>
        <w:tab/>
      </w:r>
      <w:r w:rsidRPr="00EC6CB6">
        <w:rPr>
          <w:rFonts w:asciiTheme="majorHAnsi" w:hAnsiTheme="majorHAnsi"/>
        </w:rPr>
        <w:tab/>
        <w:t>=1.16%</w:t>
      </w:r>
    </w:p>
    <w:p w:rsidR="002C3898" w:rsidRPr="00EC6CB6" w:rsidRDefault="002C3898" w:rsidP="002C3898">
      <w:pPr>
        <w:tabs>
          <w:tab w:val="left" w:pos="2880"/>
        </w:tabs>
        <w:spacing w:line="360" w:lineRule="auto"/>
        <w:jc w:val="both"/>
        <w:rPr>
          <w:rFonts w:asciiTheme="majorHAnsi" w:hAnsiTheme="majorHAnsi"/>
        </w:rPr>
      </w:pPr>
    </w:p>
    <w:p w:rsidR="002C3898" w:rsidRPr="00EC6CB6" w:rsidRDefault="002C3898" w:rsidP="002C3898">
      <w:pPr>
        <w:tabs>
          <w:tab w:val="left" w:pos="2880"/>
        </w:tabs>
        <w:spacing w:line="360" w:lineRule="auto"/>
        <w:jc w:val="both"/>
        <w:rPr>
          <w:rFonts w:asciiTheme="majorHAnsi" w:hAnsiTheme="majorHAnsi"/>
        </w:rPr>
      </w:pPr>
      <w:r w:rsidRPr="00EC6CB6">
        <w:rPr>
          <w:rFonts w:asciiTheme="majorHAnsi" w:hAnsiTheme="majorHAnsi"/>
        </w:rPr>
        <w:t xml:space="preserve">Where, </w:t>
      </w:r>
    </w:p>
    <w:p w:rsidR="002C3898" w:rsidRPr="00EC6CB6" w:rsidRDefault="002C3898" w:rsidP="002C3898">
      <w:pPr>
        <w:tabs>
          <w:tab w:val="left" w:pos="2880"/>
        </w:tabs>
        <w:jc w:val="both"/>
        <w:rPr>
          <w:rFonts w:asciiTheme="majorHAnsi" w:hAnsiTheme="majorHAnsi" w:cs="Arial"/>
        </w:rPr>
      </w:pPr>
      <w:r w:rsidRPr="00EC6CB6">
        <w:rPr>
          <w:rFonts w:asciiTheme="majorHAnsi" w:hAnsiTheme="majorHAnsi"/>
        </w:rPr>
        <w:t>Net Profit margin on sales (p) =1531625/</w:t>
      </w:r>
      <w:r w:rsidRPr="00EC6CB6">
        <w:rPr>
          <w:rFonts w:asciiTheme="majorHAnsi" w:hAnsiTheme="majorHAnsi" w:cs="Arial"/>
        </w:rPr>
        <w:t xml:space="preserve">104,409,785 </w:t>
      </w:r>
      <w:r w:rsidRPr="00EC6CB6">
        <w:rPr>
          <w:rFonts w:asciiTheme="majorHAnsi" w:hAnsiTheme="majorHAnsi"/>
        </w:rPr>
        <w:t>=0.0146</w:t>
      </w:r>
    </w:p>
    <w:p w:rsidR="002C3898" w:rsidRPr="00EC6CB6" w:rsidRDefault="002C3898" w:rsidP="002C3898">
      <w:pPr>
        <w:tabs>
          <w:tab w:val="left" w:pos="2880"/>
        </w:tabs>
        <w:spacing w:line="360" w:lineRule="auto"/>
        <w:jc w:val="both"/>
        <w:rPr>
          <w:rFonts w:asciiTheme="majorHAnsi" w:hAnsiTheme="majorHAnsi"/>
        </w:rPr>
      </w:pPr>
      <w:r w:rsidRPr="00EC6CB6">
        <w:rPr>
          <w:rFonts w:asciiTheme="majorHAnsi" w:hAnsiTheme="majorHAnsi"/>
        </w:rPr>
        <w:t>Dividend Payout ratio (d) = 1350000/1531625=0.8814</w:t>
      </w:r>
    </w:p>
    <w:p w:rsidR="002C3898" w:rsidRPr="00EC6CB6" w:rsidRDefault="002C3898" w:rsidP="002C3898">
      <w:pPr>
        <w:tabs>
          <w:tab w:val="left" w:pos="2880"/>
        </w:tabs>
        <w:spacing w:line="360" w:lineRule="auto"/>
        <w:jc w:val="both"/>
        <w:rPr>
          <w:rFonts w:asciiTheme="majorHAnsi" w:hAnsiTheme="majorHAnsi"/>
        </w:rPr>
      </w:pPr>
      <w:r w:rsidRPr="00EC6CB6">
        <w:rPr>
          <w:rFonts w:asciiTheme="majorHAnsi" w:hAnsiTheme="majorHAnsi"/>
        </w:rPr>
        <w:t>Retention Ratio (1-d) =1-0.8814=0.1186</w:t>
      </w:r>
    </w:p>
    <w:p w:rsidR="002C3898" w:rsidRPr="00EC6CB6" w:rsidRDefault="002C3898" w:rsidP="002C3898">
      <w:pPr>
        <w:tabs>
          <w:tab w:val="left" w:pos="2880"/>
        </w:tabs>
        <w:jc w:val="both"/>
        <w:rPr>
          <w:rFonts w:asciiTheme="majorHAnsi" w:hAnsiTheme="majorHAnsi" w:cs="Arial"/>
        </w:rPr>
      </w:pPr>
      <w:r w:rsidRPr="00EC6CB6">
        <w:rPr>
          <w:rFonts w:asciiTheme="majorHAnsi" w:hAnsiTheme="majorHAnsi"/>
        </w:rPr>
        <w:t>Ratio of Total Assets to Sales (T) = 83483416/</w:t>
      </w:r>
      <w:r w:rsidRPr="00EC6CB6">
        <w:rPr>
          <w:rFonts w:asciiTheme="majorHAnsi" w:hAnsiTheme="majorHAnsi" w:cs="Arial"/>
        </w:rPr>
        <w:t>104,409,785</w:t>
      </w:r>
      <w:r w:rsidRPr="00EC6CB6">
        <w:rPr>
          <w:rFonts w:asciiTheme="majorHAnsi" w:hAnsiTheme="majorHAnsi"/>
        </w:rPr>
        <w:t xml:space="preserve">=0.79957  </w:t>
      </w:r>
      <w:r w:rsidRPr="00EC6CB6">
        <w:rPr>
          <w:rFonts w:asciiTheme="majorHAnsi" w:hAnsiTheme="majorHAnsi" w:cs="Arial"/>
        </w:rPr>
        <w:t xml:space="preserve">         </w:t>
      </w:r>
    </w:p>
    <w:p w:rsidR="002C3898" w:rsidRPr="00EC6CB6" w:rsidRDefault="002C3898" w:rsidP="002C3898">
      <w:pPr>
        <w:tabs>
          <w:tab w:val="left" w:pos="2880"/>
        </w:tabs>
        <w:jc w:val="both"/>
        <w:rPr>
          <w:rFonts w:asciiTheme="majorHAnsi" w:hAnsiTheme="majorHAnsi"/>
        </w:rPr>
      </w:pPr>
    </w:p>
    <w:p w:rsidR="002C3898" w:rsidRPr="00EC6CB6" w:rsidRDefault="002C3898" w:rsidP="002C3898">
      <w:pPr>
        <w:tabs>
          <w:tab w:val="left" w:pos="2880"/>
        </w:tabs>
        <w:jc w:val="both"/>
        <w:rPr>
          <w:rFonts w:asciiTheme="majorHAnsi" w:hAnsiTheme="majorHAnsi" w:cs="Arial"/>
        </w:rPr>
      </w:pPr>
      <w:r w:rsidRPr="00EC6CB6">
        <w:rPr>
          <w:rFonts w:asciiTheme="majorHAnsi" w:hAnsiTheme="majorHAnsi"/>
        </w:rPr>
        <w:t xml:space="preserve">Debt Equity Ratio (D/E) = 68651235/14832181=4.629 </w:t>
      </w:r>
      <w:r w:rsidRPr="00EC6CB6">
        <w:rPr>
          <w:rFonts w:asciiTheme="majorHAnsi" w:hAnsiTheme="majorHAnsi" w:cs="Arial"/>
        </w:rPr>
        <w:t xml:space="preserve">      </w:t>
      </w:r>
    </w:p>
    <w:p w:rsidR="002C3898" w:rsidRPr="00EC6CB6" w:rsidRDefault="002C3898" w:rsidP="002C3898">
      <w:pPr>
        <w:tabs>
          <w:tab w:val="left" w:pos="2880"/>
        </w:tabs>
        <w:jc w:val="both"/>
        <w:rPr>
          <w:rFonts w:asciiTheme="majorHAnsi" w:hAnsiTheme="majorHAnsi" w:cs="Arial"/>
        </w:rPr>
      </w:pPr>
    </w:p>
    <w:p w:rsidR="002C3898" w:rsidRPr="00EC6CB6" w:rsidRDefault="002C3898" w:rsidP="002C3898">
      <w:pPr>
        <w:tabs>
          <w:tab w:val="left" w:pos="2880"/>
        </w:tabs>
        <w:jc w:val="both"/>
        <w:rPr>
          <w:rFonts w:asciiTheme="majorHAnsi" w:hAnsiTheme="majorHAnsi" w:cs="Arial"/>
        </w:rPr>
      </w:pPr>
      <w:r w:rsidRPr="00EC6CB6">
        <w:rPr>
          <w:rFonts w:asciiTheme="majorHAnsi" w:hAnsiTheme="majorHAnsi" w:cs="Arial"/>
        </w:rPr>
        <w:t>So, the sustainable growth rate of the company is very low. As the economy has recovered from a recession period this sustainable growth rate is not suitable to explain the projected future.</w:t>
      </w:r>
    </w:p>
    <w:p w:rsidR="002C3898" w:rsidRPr="00EC6CB6" w:rsidRDefault="002C3898" w:rsidP="002C3898">
      <w:pPr>
        <w:tabs>
          <w:tab w:val="left" w:pos="2880"/>
        </w:tabs>
        <w:spacing w:line="360" w:lineRule="auto"/>
        <w:jc w:val="both"/>
        <w:rPr>
          <w:rFonts w:asciiTheme="majorHAnsi" w:hAnsiTheme="majorHAnsi"/>
          <w:b/>
        </w:rPr>
      </w:pPr>
    </w:p>
    <w:p w:rsidR="002C3898" w:rsidRPr="00B12809" w:rsidRDefault="002C3898" w:rsidP="00524C24">
      <w:pPr>
        <w:pStyle w:val="ListParagraph"/>
        <w:numPr>
          <w:ilvl w:val="0"/>
          <w:numId w:val="4"/>
        </w:numPr>
        <w:tabs>
          <w:tab w:val="left" w:pos="2880"/>
        </w:tabs>
        <w:spacing w:line="360" w:lineRule="auto"/>
        <w:jc w:val="both"/>
        <w:rPr>
          <w:rFonts w:asciiTheme="majorHAnsi" w:hAnsiTheme="majorHAnsi"/>
          <w:b/>
          <w:u w:val="single"/>
        </w:rPr>
      </w:pPr>
      <w:r w:rsidRPr="00B12809">
        <w:rPr>
          <w:rFonts w:asciiTheme="majorHAnsi" w:hAnsiTheme="majorHAnsi"/>
          <w:b/>
          <w:u w:val="single"/>
        </w:rPr>
        <w:t>Other growth rate=ROE*Retention rate</w:t>
      </w:r>
    </w:p>
    <w:p w:rsidR="002C3898" w:rsidRPr="00EC6CB6" w:rsidRDefault="002C3898" w:rsidP="002C3898">
      <w:pPr>
        <w:tabs>
          <w:tab w:val="left" w:pos="2880"/>
        </w:tabs>
        <w:jc w:val="both"/>
        <w:rPr>
          <w:rFonts w:asciiTheme="majorHAnsi" w:hAnsiTheme="majorHAnsi" w:cs="Times New Roman"/>
        </w:rPr>
      </w:pPr>
      <w:r w:rsidRPr="00EC6CB6">
        <w:rPr>
          <w:rFonts w:asciiTheme="majorHAnsi" w:hAnsiTheme="majorHAnsi"/>
        </w:rPr>
        <w:t xml:space="preserve">= </w:t>
      </w:r>
      <w:r w:rsidRPr="00EC6CB6">
        <w:rPr>
          <w:rFonts w:asciiTheme="majorHAnsi" w:hAnsiTheme="majorHAnsi" w:cs="Times New Roman"/>
        </w:rPr>
        <w:t>0.</w:t>
      </w:r>
      <w:r w:rsidRPr="00EC6CB6">
        <w:rPr>
          <w:rFonts w:asciiTheme="majorHAnsi" w:hAnsiTheme="majorHAnsi" w:cs="Times New Roman"/>
          <w:bCs/>
        </w:rPr>
        <w:t>1033*</w:t>
      </w:r>
      <w:r w:rsidRPr="00EC6CB6">
        <w:rPr>
          <w:rFonts w:asciiTheme="majorHAnsi" w:hAnsiTheme="majorHAnsi" w:cs="Times New Roman"/>
        </w:rPr>
        <w:t>0.1186</w:t>
      </w:r>
    </w:p>
    <w:p w:rsidR="002C3898" w:rsidRPr="00EC6CB6" w:rsidRDefault="002C3898" w:rsidP="002C3898">
      <w:pPr>
        <w:tabs>
          <w:tab w:val="left" w:pos="2880"/>
        </w:tabs>
        <w:jc w:val="both"/>
        <w:rPr>
          <w:rFonts w:asciiTheme="majorHAnsi" w:hAnsiTheme="majorHAnsi" w:cs="Arial"/>
          <w:bCs/>
        </w:rPr>
      </w:pPr>
      <w:r w:rsidRPr="00EC6CB6">
        <w:rPr>
          <w:rFonts w:asciiTheme="majorHAnsi" w:hAnsiTheme="majorHAnsi" w:cs="Arial"/>
          <w:bCs/>
        </w:rPr>
        <w:t>=1.23%</w:t>
      </w:r>
    </w:p>
    <w:p w:rsidR="002C3898" w:rsidRPr="00EC6CB6" w:rsidRDefault="002C3898" w:rsidP="002C3898">
      <w:pPr>
        <w:tabs>
          <w:tab w:val="left" w:pos="2880"/>
        </w:tabs>
        <w:jc w:val="both"/>
        <w:rPr>
          <w:rFonts w:asciiTheme="majorHAnsi" w:hAnsiTheme="majorHAnsi" w:cs="Arial"/>
          <w:bCs/>
        </w:rPr>
      </w:pPr>
    </w:p>
    <w:p w:rsidR="002C3898" w:rsidRPr="00EC6CB6" w:rsidRDefault="002C3898" w:rsidP="002C3898">
      <w:pPr>
        <w:tabs>
          <w:tab w:val="left" w:pos="2880"/>
        </w:tabs>
        <w:jc w:val="both"/>
        <w:rPr>
          <w:rFonts w:asciiTheme="majorHAnsi" w:hAnsiTheme="majorHAnsi" w:cs="Arial"/>
          <w:bCs/>
        </w:rPr>
      </w:pPr>
      <w:r w:rsidRPr="00EC6CB6">
        <w:rPr>
          <w:rFonts w:asciiTheme="majorHAnsi" w:hAnsiTheme="majorHAnsi" w:cs="Arial"/>
          <w:bCs/>
        </w:rPr>
        <w:t>As these two growth rates are very low, we move to analysis other situations in order to find another growth rate that best match the company’s optimum growth policy. For that purpose we have taken the following prospective analysis</w:t>
      </w:r>
    </w:p>
    <w:p w:rsidR="002C3898" w:rsidRPr="00EC6CB6" w:rsidRDefault="002C3898" w:rsidP="002C3898">
      <w:pPr>
        <w:tabs>
          <w:tab w:val="left" w:pos="2880"/>
        </w:tabs>
        <w:jc w:val="both"/>
        <w:rPr>
          <w:rFonts w:asciiTheme="majorHAnsi" w:hAnsiTheme="majorHAnsi" w:cs="Arial"/>
          <w:bCs/>
        </w:rPr>
      </w:pPr>
    </w:p>
    <w:p w:rsidR="002C3898" w:rsidRPr="00EC6CB6" w:rsidRDefault="002C3898" w:rsidP="002C3898">
      <w:pPr>
        <w:pStyle w:val="ListParagraph"/>
        <w:numPr>
          <w:ilvl w:val="0"/>
          <w:numId w:val="2"/>
        </w:numPr>
        <w:tabs>
          <w:tab w:val="left" w:pos="2880"/>
        </w:tabs>
        <w:spacing w:after="0" w:line="240" w:lineRule="auto"/>
        <w:jc w:val="both"/>
        <w:rPr>
          <w:rFonts w:asciiTheme="majorHAnsi" w:hAnsiTheme="majorHAnsi" w:cs="Arial"/>
          <w:bCs/>
        </w:rPr>
      </w:pPr>
      <w:r w:rsidRPr="00EC6CB6">
        <w:rPr>
          <w:rFonts w:asciiTheme="majorHAnsi" w:hAnsiTheme="majorHAnsi" w:cs="Arial"/>
          <w:bCs/>
        </w:rPr>
        <w:t xml:space="preserve">Sales growth rate </w:t>
      </w:r>
    </w:p>
    <w:p w:rsidR="002C3898" w:rsidRPr="00EC6CB6" w:rsidRDefault="002C3898" w:rsidP="002C3898">
      <w:pPr>
        <w:pStyle w:val="ListParagraph"/>
        <w:numPr>
          <w:ilvl w:val="0"/>
          <w:numId w:val="2"/>
        </w:numPr>
        <w:tabs>
          <w:tab w:val="left" w:pos="2880"/>
        </w:tabs>
        <w:spacing w:after="0" w:line="240" w:lineRule="auto"/>
        <w:jc w:val="both"/>
        <w:rPr>
          <w:rFonts w:asciiTheme="majorHAnsi" w:hAnsiTheme="majorHAnsi" w:cs="Arial"/>
          <w:bCs/>
        </w:rPr>
      </w:pPr>
      <w:r w:rsidRPr="00EC6CB6">
        <w:rPr>
          <w:rFonts w:asciiTheme="majorHAnsi" w:hAnsiTheme="majorHAnsi" w:cs="Arial"/>
          <w:bCs/>
        </w:rPr>
        <w:t xml:space="preserve">Average economic GDP growth rate and </w:t>
      </w:r>
    </w:p>
    <w:p w:rsidR="002C3898" w:rsidRPr="007E3F57" w:rsidRDefault="002C3898" w:rsidP="002C3898">
      <w:pPr>
        <w:pStyle w:val="ListParagraph"/>
        <w:numPr>
          <w:ilvl w:val="0"/>
          <w:numId w:val="2"/>
        </w:numPr>
        <w:tabs>
          <w:tab w:val="left" w:pos="2880"/>
        </w:tabs>
        <w:spacing w:after="0" w:line="240" w:lineRule="auto"/>
        <w:jc w:val="both"/>
        <w:rPr>
          <w:rFonts w:asciiTheme="majorHAnsi" w:hAnsiTheme="majorHAnsi" w:cs="Arial"/>
          <w:bCs/>
        </w:rPr>
      </w:pPr>
      <w:r w:rsidRPr="00EC6CB6">
        <w:rPr>
          <w:rFonts w:asciiTheme="majorHAnsi" w:hAnsiTheme="majorHAnsi" w:cs="Arial"/>
          <w:bCs/>
        </w:rPr>
        <w:t>The average of the above two growth rate</w:t>
      </w:r>
    </w:p>
    <w:p w:rsidR="002C3898" w:rsidRPr="00EC6CB6" w:rsidRDefault="002C3898" w:rsidP="002C3898">
      <w:pPr>
        <w:tabs>
          <w:tab w:val="left" w:pos="2880"/>
        </w:tabs>
        <w:ind w:left="360"/>
        <w:jc w:val="both"/>
        <w:rPr>
          <w:rFonts w:asciiTheme="majorHAnsi" w:hAnsiTheme="majorHAnsi"/>
          <w:b/>
          <w:u w:val="single"/>
        </w:rPr>
      </w:pPr>
    </w:p>
    <w:p w:rsidR="002C3898" w:rsidRPr="00EC6CB6" w:rsidRDefault="002C3898" w:rsidP="00524C24">
      <w:pPr>
        <w:tabs>
          <w:tab w:val="left" w:pos="2880"/>
        </w:tabs>
        <w:jc w:val="both"/>
        <w:rPr>
          <w:rFonts w:asciiTheme="majorHAnsi" w:hAnsiTheme="majorHAnsi" w:cs="Arial"/>
          <w:bCs/>
        </w:rPr>
      </w:pPr>
      <w:r w:rsidRPr="00EC6CB6">
        <w:rPr>
          <w:rFonts w:asciiTheme="majorHAnsi" w:hAnsiTheme="majorHAnsi"/>
          <w:b/>
          <w:u w:val="single"/>
        </w:rPr>
        <w:t xml:space="preserve">Growth Rate : Scenario -1 </w:t>
      </w:r>
    </w:p>
    <w:p w:rsidR="002C3898" w:rsidRPr="00524C24" w:rsidRDefault="002C3898" w:rsidP="002C3898">
      <w:pPr>
        <w:tabs>
          <w:tab w:val="left" w:pos="2880"/>
        </w:tabs>
        <w:jc w:val="both"/>
        <w:rPr>
          <w:rFonts w:asciiTheme="majorHAnsi" w:hAnsiTheme="majorHAnsi"/>
        </w:rPr>
      </w:pPr>
      <w:r w:rsidRPr="00EC6CB6">
        <w:rPr>
          <w:rFonts w:asciiTheme="majorHAnsi" w:hAnsiTheme="majorHAnsi"/>
        </w:rPr>
        <w:t xml:space="preserve">Assuming growth rate of </w:t>
      </w:r>
      <w:r w:rsidRPr="00EC6CB6">
        <w:rPr>
          <w:rFonts w:asciiTheme="majorHAnsi" w:hAnsiTheme="majorHAnsi" w:cs="Arial"/>
        </w:rPr>
        <w:t xml:space="preserve">7.4% </w:t>
      </w:r>
      <w:r w:rsidRPr="00EC6CB6">
        <w:rPr>
          <w:rFonts w:asciiTheme="majorHAnsi" w:hAnsiTheme="majorHAnsi"/>
        </w:rPr>
        <w:t>as average of last 5 years growth of Sales</w:t>
      </w:r>
    </w:p>
    <w:tbl>
      <w:tblPr>
        <w:tblW w:w="5000" w:type="pct"/>
        <w:tblLook w:val="04A0"/>
      </w:tblPr>
      <w:tblGrid>
        <w:gridCol w:w="2268"/>
        <w:gridCol w:w="1098"/>
        <w:gridCol w:w="1487"/>
        <w:gridCol w:w="1098"/>
        <w:gridCol w:w="1098"/>
        <w:gridCol w:w="1098"/>
        <w:gridCol w:w="1098"/>
      </w:tblGrid>
      <w:tr w:rsidR="002C3898" w:rsidRPr="00EC6CB6" w:rsidTr="00FA5169">
        <w:trPr>
          <w:trHeight w:val="342"/>
        </w:trPr>
        <w:tc>
          <w:tcPr>
            <w:tcW w:w="1226" w:type="pct"/>
            <w:tcBorders>
              <w:top w:val="nil"/>
              <w:left w:val="nil"/>
              <w:bottom w:val="nil"/>
              <w:right w:val="nil"/>
            </w:tcBorders>
            <w:shd w:val="clear" w:color="auto" w:fill="auto"/>
            <w:noWrap/>
            <w:vAlign w:val="bottom"/>
            <w:hideMark/>
          </w:tcPr>
          <w:p w:rsidR="002C3898" w:rsidRPr="00524C24" w:rsidRDefault="002C3898" w:rsidP="00FA5169">
            <w:pPr>
              <w:tabs>
                <w:tab w:val="left" w:pos="2880"/>
              </w:tabs>
              <w:rPr>
                <w:rFonts w:asciiTheme="majorHAnsi" w:hAnsiTheme="majorHAnsi" w:cs="Arial"/>
                <w:b/>
                <w:sz w:val="16"/>
                <w:szCs w:val="16"/>
                <w:u w:val="single"/>
              </w:rPr>
            </w:pPr>
            <w:r w:rsidRPr="00524C24">
              <w:rPr>
                <w:rFonts w:asciiTheme="majorHAnsi" w:hAnsiTheme="majorHAnsi" w:cs="Arial"/>
                <w:b/>
                <w:sz w:val="16"/>
                <w:szCs w:val="16"/>
                <w:u w:val="single"/>
              </w:rPr>
              <w:t>Normal Growth Rate : 7.4%</w:t>
            </w:r>
          </w:p>
        </w:tc>
        <w:tc>
          <w:tcPr>
            <w:tcW w:w="594" w:type="pct"/>
            <w:tcBorders>
              <w:top w:val="nil"/>
              <w:left w:val="nil"/>
              <w:bottom w:val="nil"/>
              <w:right w:val="nil"/>
            </w:tcBorders>
            <w:shd w:val="clear" w:color="auto" w:fill="auto"/>
            <w:noWrap/>
            <w:vAlign w:val="bottom"/>
            <w:hideMark/>
          </w:tcPr>
          <w:p w:rsidR="002C3898" w:rsidRPr="00524C24" w:rsidRDefault="002C3898" w:rsidP="00FA5169">
            <w:pPr>
              <w:tabs>
                <w:tab w:val="left" w:pos="2880"/>
              </w:tabs>
              <w:rPr>
                <w:rFonts w:asciiTheme="majorHAnsi" w:hAnsiTheme="majorHAnsi" w:cs="Arial"/>
                <w:sz w:val="16"/>
                <w:szCs w:val="16"/>
                <w:u w:val="single"/>
              </w:rPr>
            </w:pPr>
          </w:p>
        </w:tc>
        <w:tc>
          <w:tcPr>
            <w:tcW w:w="804" w:type="pct"/>
            <w:tcBorders>
              <w:top w:val="nil"/>
              <w:left w:val="nil"/>
              <w:bottom w:val="nil"/>
              <w:right w:val="nil"/>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p>
        </w:tc>
        <w:tc>
          <w:tcPr>
            <w:tcW w:w="594" w:type="pct"/>
            <w:tcBorders>
              <w:top w:val="nil"/>
              <w:left w:val="nil"/>
              <w:bottom w:val="nil"/>
              <w:right w:val="nil"/>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p>
        </w:tc>
        <w:tc>
          <w:tcPr>
            <w:tcW w:w="594" w:type="pct"/>
            <w:tcBorders>
              <w:top w:val="nil"/>
              <w:left w:val="nil"/>
              <w:bottom w:val="nil"/>
              <w:right w:val="nil"/>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p>
        </w:tc>
        <w:tc>
          <w:tcPr>
            <w:tcW w:w="594" w:type="pct"/>
            <w:tcBorders>
              <w:top w:val="nil"/>
              <w:left w:val="nil"/>
              <w:bottom w:val="nil"/>
              <w:right w:val="nil"/>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p>
        </w:tc>
        <w:tc>
          <w:tcPr>
            <w:tcW w:w="594" w:type="pct"/>
            <w:tcBorders>
              <w:top w:val="nil"/>
              <w:left w:val="nil"/>
              <w:bottom w:val="nil"/>
              <w:right w:val="nil"/>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p>
        </w:tc>
      </w:tr>
      <w:tr w:rsidR="002C3898" w:rsidRPr="00EC6CB6" w:rsidTr="00FA5169">
        <w:trPr>
          <w:trHeight w:val="342"/>
        </w:trPr>
        <w:tc>
          <w:tcPr>
            <w:tcW w:w="12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 </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Current</w:t>
            </w: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5 Years Projection</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 </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 </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 </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 </w:t>
            </w:r>
          </w:p>
        </w:tc>
      </w:tr>
      <w:tr w:rsidR="002C3898" w:rsidRPr="00EC6CB6" w:rsidTr="00FA5169">
        <w:trPr>
          <w:trHeight w:val="342"/>
        </w:trPr>
        <w:tc>
          <w:tcPr>
            <w:tcW w:w="1226" w:type="pct"/>
            <w:tcBorders>
              <w:top w:val="nil"/>
              <w:left w:val="single" w:sz="4" w:space="0" w:color="auto"/>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Year</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2,009</w:t>
            </w:r>
          </w:p>
        </w:tc>
        <w:tc>
          <w:tcPr>
            <w:tcW w:w="80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2,010</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2,011</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2,012</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2,013</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2,014</w:t>
            </w:r>
          </w:p>
        </w:tc>
      </w:tr>
      <w:tr w:rsidR="002C3898" w:rsidRPr="00EC6CB6" w:rsidTr="00FA5169">
        <w:trPr>
          <w:trHeight w:val="342"/>
        </w:trPr>
        <w:tc>
          <w:tcPr>
            <w:tcW w:w="1226" w:type="pct"/>
            <w:tcBorders>
              <w:top w:val="nil"/>
              <w:left w:val="single" w:sz="4" w:space="0" w:color="auto"/>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Growth Rate</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 </w:t>
            </w:r>
          </w:p>
        </w:tc>
        <w:tc>
          <w:tcPr>
            <w:tcW w:w="80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7.40</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7.40</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7.40</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7.40</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7.40</w:t>
            </w:r>
          </w:p>
        </w:tc>
      </w:tr>
      <w:tr w:rsidR="002C3898" w:rsidRPr="00EC6CB6" w:rsidTr="00FA5169">
        <w:trPr>
          <w:trHeight w:val="342"/>
        </w:trPr>
        <w:tc>
          <w:tcPr>
            <w:tcW w:w="1226" w:type="pct"/>
            <w:tcBorders>
              <w:top w:val="nil"/>
              <w:left w:val="single" w:sz="4" w:space="0" w:color="auto"/>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Sales</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104,409,785</w:t>
            </w:r>
          </w:p>
        </w:tc>
        <w:tc>
          <w:tcPr>
            <w:tcW w:w="80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112,136,109</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120,434,181</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129,346,311</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138,917,938</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149,197,865</w:t>
            </w:r>
          </w:p>
        </w:tc>
      </w:tr>
      <w:tr w:rsidR="002C3898" w:rsidRPr="00EC6CB6" w:rsidTr="00FA5169">
        <w:trPr>
          <w:trHeight w:val="342"/>
        </w:trPr>
        <w:tc>
          <w:tcPr>
            <w:tcW w:w="1226" w:type="pct"/>
            <w:tcBorders>
              <w:top w:val="nil"/>
              <w:left w:val="single" w:sz="4" w:space="0" w:color="auto"/>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Net Income</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1,531,625</w:t>
            </w:r>
          </w:p>
        </w:tc>
        <w:tc>
          <w:tcPr>
            <w:tcW w:w="80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1,644,965</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1,766,693</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1,897,428</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2,037,838</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2,188,638</w:t>
            </w:r>
          </w:p>
        </w:tc>
      </w:tr>
      <w:tr w:rsidR="002C3898" w:rsidRPr="00EC6CB6" w:rsidTr="00FA5169">
        <w:trPr>
          <w:trHeight w:val="342"/>
        </w:trPr>
        <w:tc>
          <w:tcPr>
            <w:tcW w:w="1226" w:type="pct"/>
            <w:tcBorders>
              <w:top w:val="nil"/>
              <w:left w:val="single" w:sz="4" w:space="0" w:color="auto"/>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Dividend</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1,350,000</w:t>
            </w:r>
          </w:p>
        </w:tc>
        <w:tc>
          <w:tcPr>
            <w:tcW w:w="80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1,350,000</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1,350,000</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1,350,000</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1,350,000</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1,350,000</w:t>
            </w:r>
          </w:p>
        </w:tc>
      </w:tr>
      <w:tr w:rsidR="002C3898" w:rsidRPr="00EC6CB6" w:rsidTr="00FA5169">
        <w:trPr>
          <w:trHeight w:val="342"/>
        </w:trPr>
        <w:tc>
          <w:tcPr>
            <w:tcW w:w="1226" w:type="pct"/>
            <w:tcBorders>
              <w:top w:val="nil"/>
              <w:left w:val="single" w:sz="4" w:space="0" w:color="auto"/>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Addition to retained Earnings</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1,396,625</w:t>
            </w:r>
          </w:p>
        </w:tc>
        <w:tc>
          <w:tcPr>
            <w:tcW w:w="80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1,499,975</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1,610,973</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1,730,185</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1,858,219</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1,995,727</w:t>
            </w:r>
          </w:p>
        </w:tc>
      </w:tr>
      <w:tr w:rsidR="002C3898" w:rsidRPr="00EC6CB6" w:rsidTr="00FA5169">
        <w:trPr>
          <w:trHeight w:val="342"/>
        </w:trPr>
        <w:tc>
          <w:tcPr>
            <w:tcW w:w="1226" w:type="pct"/>
            <w:tcBorders>
              <w:top w:val="nil"/>
              <w:left w:val="single" w:sz="4" w:space="0" w:color="auto"/>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Total Assets</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83,483,416</w:t>
            </w:r>
          </w:p>
        </w:tc>
        <w:tc>
          <w:tcPr>
            <w:tcW w:w="80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89,661,189</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96,296,117</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103,422,029</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111,075,260</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119,294,829</w:t>
            </w:r>
          </w:p>
        </w:tc>
      </w:tr>
      <w:tr w:rsidR="002C3898" w:rsidRPr="00EC6CB6" w:rsidTr="00FA5169">
        <w:trPr>
          <w:trHeight w:val="342"/>
        </w:trPr>
        <w:tc>
          <w:tcPr>
            <w:tcW w:w="1226" w:type="pct"/>
            <w:tcBorders>
              <w:top w:val="nil"/>
              <w:left w:val="single" w:sz="4" w:space="0" w:color="auto"/>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Total Debt</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68,651,235</w:t>
            </w:r>
          </w:p>
        </w:tc>
        <w:tc>
          <w:tcPr>
            <w:tcW w:w="80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73,731,426</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79,187,552</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85,047,431</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91,340,941</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98,100,170</w:t>
            </w:r>
          </w:p>
        </w:tc>
      </w:tr>
      <w:tr w:rsidR="002C3898" w:rsidRPr="00EC6CB6" w:rsidTr="00FA5169">
        <w:trPr>
          <w:trHeight w:val="342"/>
        </w:trPr>
        <w:tc>
          <w:tcPr>
            <w:tcW w:w="1226" w:type="pct"/>
            <w:tcBorders>
              <w:top w:val="nil"/>
              <w:left w:val="single" w:sz="4" w:space="0" w:color="auto"/>
              <w:bottom w:val="single" w:sz="4" w:space="0" w:color="auto"/>
              <w:right w:val="single" w:sz="4" w:space="0" w:color="auto"/>
            </w:tcBorders>
            <w:shd w:val="clear" w:color="000000" w:fill="C2D69A"/>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Common Stock</w:t>
            </w:r>
          </w:p>
        </w:tc>
        <w:tc>
          <w:tcPr>
            <w:tcW w:w="594" w:type="pct"/>
            <w:tcBorders>
              <w:top w:val="nil"/>
              <w:left w:val="nil"/>
              <w:bottom w:val="single" w:sz="4" w:space="0" w:color="auto"/>
              <w:right w:val="single" w:sz="4" w:space="0" w:color="auto"/>
            </w:tcBorders>
            <w:shd w:val="clear" w:color="000000" w:fill="C2D69A"/>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9,000,000</w:t>
            </w:r>
          </w:p>
        </w:tc>
        <w:tc>
          <w:tcPr>
            <w:tcW w:w="804" w:type="pct"/>
            <w:tcBorders>
              <w:top w:val="nil"/>
              <w:left w:val="nil"/>
              <w:bottom w:val="single" w:sz="4" w:space="0" w:color="auto"/>
              <w:right w:val="single" w:sz="4" w:space="0" w:color="auto"/>
            </w:tcBorders>
            <w:shd w:val="clear" w:color="000000" w:fill="C2D69A"/>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9,000,000</w:t>
            </w:r>
          </w:p>
        </w:tc>
        <w:tc>
          <w:tcPr>
            <w:tcW w:w="594" w:type="pct"/>
            <w:tcBorders>
              <w:top w:val="nil"/>
              <w:left w:val="nil"/>
              <w:bottom w:val="single" w:sz="4" w:space="0" w:color="auto"/>
              <w:right w:val="single" w:sz="4" w:space="0" w:color="auto"/>
            </w:tcBorders>
            <w:shd w:val="clear" w:color="000000" w:fill="C2D69A"/>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9,000,000</w:t>
            </w:r>
          </w:p>
        </w:tc>
        <w:tc>
          <w:tcPr>
            <w:tcW w:w="594" w:type="pct"/>
            <w:tcBorders>
              <w:top w:val="nil"/>
              <w:left w:val="nil"/>
              <w:bottom w:val="single" w:sz="4" w:space="0" w:color="auto"/>
              <w:right w:val="single" w:sz="4" w:space="0" w:color="auto"/>
            </w:tcBorders>
            <w:shd w:val="clear" w:color="000000" w:fill="C2D69A"/>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9,000,000</w:t>
            </w:r>
          </w:p>
        </w:tc>
        <w:tc>
          <w:tcPr>
            <w:tcW w:w="594" w:type="pct"/>
            <w:tcBorders>
              <w:top w:val="nil"/>
              <w:left w:val="nil"/>
              <w:bottom w:val="single" w:sz="4" w:space="0" w:color="auto"/>
              <w:right w:val="single" w:sz="4" w:space="0" w:color="auto"/>
            </w:tcBorders>
            <w:shd w:val="clear" w:color="000000" w:fill="C2D69A"/>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9,000,000</w:t>
            </w:r>
          </w:p>
        </w:tc>
        <w:tc>
          <w:tcPr>
            <w:tcW w:w="594" w:type="pct"/>
            <w:tcBorders>
              <w:top w:val="nil"/>
              <w:left w:val="nil"/>
              <w:bottom w:val="single" w:sz="4" w:space="0" w:color="auto"/>
              <w:right w:val="single" w:sz="4" w:space="0" w:color="auto"/>
            </w:tcBorders>
            <w:shd w:val="clear" w:color="000000" w:fill="C2D69A"/>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9,000,000</w:t>
            </w:r>
          </w:p>
        </w:tc>
      </w:tr>
      <w:tr w:rsidR="002C3898" w:rsidRPr="00EC6CB6" w:rsidTr="00FA5169">
        <w:trPr>
          <w:trHeight w:val="342"/>
        </w:trPr>
        <w:tc>
          <w:tcPr>
            <w:tcW w:w="1226" w:type="pct"/>
            <w:tcBorders>
              <w:top w:val="nil"/>
              <w:left w:val="single" w:sz="4" w:space="0" w:color="auto"/>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Retained Earnings</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5,832,181</w:t>
            </w:r>
          </w:p>
        </w:tc>
        <w:tc>
          <w:tcPr>
            <w:tcW w:w="80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7,332,156</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8,943,130</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10,673,315</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12,531,534</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14,527,262</w:t>
            </w:r>
          </w:p>
        </w:tc>
      </w:tr>
      <w:tr w:rsidR="002C3898" w:rsidRPr="00EC6CB6" w:rsidTr="00FA5169">
        <w:trPr>
          <w:trHeight w:val="342"/>
        </w:trPr>
        <w:tc>
          <w:tcPr>
            <w:tcW w:w="1226" w:type="pct"/>
            <w:tcBorders>
              <w:top w:val="nil"/>
              <w:left w:val="single" w:sz="4" w:space="0" w:color="auto"/>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Total Financing</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83,483,416</w:t>
            </w:r>
          </w:p>
        </w:tc>
        <w:tc>
          <w:tcPr>
            <w:tcW w:w="80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90,063,583</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97,130,682</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104,720,746</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112,872,475</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121,627,432</w:t>
            </w:r>
          </w:p>
        </w:tc>
      </w:tr>
      <w:tr w:rsidR="002C3898" w:rsidRPr="00EC6CB6" w:rsidTr="00FA5169">
        <w:trPr>
          <w:trHeight w:val="342"/>
        </w:trPr>
        <w:tc>
          <w:tcPr>
            <w:tcW w:w="1226" w:type="pct"/>
            <w:tcBorders>
              <w:top w:val="nil"/>
              <w:left w:val="single" w:sz="4" w:space="0" w:color="auto"/>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Fund Needed</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0</w:t>
            </w:r>
          </w:p>
        </w:tc>
        <w:tc>
          <w:tcPr>
            <w:tcW w:w="80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-402,394</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-834,565</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-1,298,717</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-1,797,215</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-2,332,603</w:t>
            </w:r>
          </w:p>
        </w:tc>
      </w:tr>
      <w:tr w:rsidR="002C3898" w:rsidRPr="00EC6CB6" w:rsidTr="00FA5169">
        <w:trPr>
          <w:trHeight w:val="342"/>
        </w:trPr>
        <w:tc>
          <w:tcPr>
            <w:tcW w:w="1226" w:type="pct"/>
            <w:tcBorders>
              <w:top w:val="nil"/>
              <w:left w:val="single" w:sz="4" w:space="0" w:color="auto"/>
              <w:bottom w:val="single" w:sz="4" w:space="0" w:color="auto"/>
              <w:right w:val="single" w:sz="4" w:space="0" w:color="auto"/>
            </w:tcBorders>
            <w:shd w:val="clear" w:color="000000" w:fill="C2D69A"/>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Sustainable Growth Rate</w:t>
            </w:r>
          </w:p>
        </w:tc>
        <w:tc>
          <w:tcPr>
            <w:tcW w:w="594" w:type="pct"/>
            <w:tcBorders>
              <w:top w:val="nil"/>
              <w:left w:val="nil"/>
              <w:bottom w:val="single" w:sz="4" w:space="0" w:color="auto"/>
              <w:right w:val="single" w:sz="4" w:space="0" w:color="auto"/>
            </w:tcBorders>
            <w:shd w:val="clear" w:color="000000" w:fill="C2D69A"/>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0.012400</w:t>
            </w:r>
          </w:p>
        </w:tc>
        <w:tc>
          <w:tcPr>
            <w:tcW w:w="804" w:type="pct"/>
            <w:tcBorders>
              <w:top w:val="nil"/>
              <w:left w:val="nil"/>
              <w:bottom w:val="single" w:sz="4" w:space="0" w:color="auto"/>
              <w:right w:val="single" w:sz="4" w:space="0" w:color="auto"/>
            </w:tcBorders>
            <w:shd w:val="clear" w:color="000000" w:fill="C2D69A"/>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0.012400</w:t>
            </w:r>
          </w:p>
        </w:tc>
        <w:tc>
          <w:tcPr>
            <w:tcW w:w="594" w:type="pct"/>
            <w:tcBorders>
              <w:top w:val="nil"/>
              <w:left w:val="nil"/>
              <w:bottom w:val="single" w:sz="4" w:space="0" w:color="auto"/>
              <w:right w:val="single" w:sz="4" w:space="0" w:color="auto"/>
            </w:tcBorders>
            <w:shd w:val="clear" w:color="000000" w:fill="C2D69A"/>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0.012400</w:t>
            </w:r>
          </w:p>
        </w:tc>
        <w:tc>
          <w:tcPr>
            <w:tcW w:w="594" w:type="pct"/>
            <w:tcBorders>
              <w:top w:val="nil"/>
              <w:left w:val="nil"/>
              <w:bottom w:val="single" w:sz="4" w:space="0" w:color="auto"/>
              <w:right w:val="single" w:sz="4" w:space="0" w:color="auto"/>
            </w:tcBorders>
            <w:shd w:val="clear" w:color="000000" w:fill="C2D69A"/>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0.012400</w:t>
            </w:r>
          </w:p>
        </w:tc>
        <w:tc>
          <w:tcPr>
            <w:tcW w:w="594" w:type="pct"/>
            <w:tcBorders>
              <w:top w:val="nil"/>
              <w:left w:val="nil"/>
              <w:bottom w:val="single" w:sz="4" w:space="0" w:color="auto"/>
              <w:right w:val="single" w:sz="4" w:space="0" w:color="auto"/>
            </w:tcBorders>
            <w:shd w:val="clear" w:color="000000" w:fill="C2D69A"/>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0.012400</w:t>
            </w:r>
          </w:p>
        </w:tc>
        <w:tc>
          <w:tcPr>
            <w:tcW w:w="594" w:type="pct"/>
            <w:tcBorders>
              <w:top w:val="nil"/>
              <w:left w:val="nil"/>
              <w:bottom w:val="single" w:sz="4" w:space="0" w:color="auto"/>
              <w:right w:val="single" w:sz="4" w:space="0" w:color="auto"/>
            </w:tcBorders>
            <w:shd w:val="clear" w:color="000000" w:fill="C2D69A"/>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0.012400</w:t>
            </w:r>
          </w:p>
        </w:tc>
      </w:tr>
      <w:tr w:rsidR="002C3898" w:rsidRPr="00EC6CB6" w:rsidTr="00FA5169">
        <w:trPr>
          <w:trHeight w:val="342"/>
        </w:trPr>
        <w:tc>
          <w:tcPr>
            <w:tcW w:w="1226" w:type="pct"/>
            <w:tcBorders>
              <w:top w:val="nil"/>
              <w:left w:val="single" w:sz="4" w:space="0" w:color="auto"/>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EPS</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17.0181</w:t>
            </w:r>
          </w:p>
        </w:tc>
        <w:tc>
          <w:tcPr>
            <w:tcW w:w="80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18.2774</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19.6299</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21.0825</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22.6426</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24.3182</w:t>
            </w:r>
          </w:p>
        </w:tc>
      </w:tr>
      <w:tr w:rsidR="002C3898" w:rsidRPr="00EC6CB6" w:rsidTr="00FA5169">
        <w:trPr>
          <w:trHeight w:val="342"/>
        </w:trPr>
        <w:tc>
          <w:tcPr>
            <w:tcW w:w="1226" w:type="pct"/>
            <w:tcBorders>
              <w:top w:val="nil"/>
              <w:left w:val="single" w:sz="4" w:space="0" w:color="auto"/>
              <w:bottom w:val="single" w:sz="4" w:space="0" w:color="auto"/>
              <w:right w:val="single" w:sz="4" w:space="0" w:color="auto"/>
            </w:tcBorders>
            <w:shd w:val="clear" w:color="auto" w:fill="auto"/>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Price</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rPr>
                <w:rFonts w:asciiTheme="majorHAnsi" w:hAnsiTheme="majorHAnsi" w:cs="Arial"/>
                <w:sz w:val="16"/>
                <w:szCs w:val="16"/>
              </w:rPr>
            </w:pPr>
            <w:r w:rsidRPr="00EC6CB6">
              <w:rPr>
                <w:rFonts w:asciiTheme="majorHAnsi" w:hAnsiTheme="majorHAnsi" w:cs="Arial"/>
                <w:sz w:val="16"/>
                <w:szCs w:val="16"/>
              </w:rPr>
              <w:t xml:space="preserve">      1,669.75 </w:t>
            </w:r>
          </w:p>
        </w:tc>
        <w:tc>
          <w:tcPr>
            <w:tcW w:w="80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1,793</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1,926</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2,069</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2,222</w:t>
            </w:r>
          </w:p>
        </w:tc>
        <w:tc>
          <w:tcPr>
            <w:tcW w:w="594" w:type="pct"/>
            <w:tcBorders>
              <w:top w:val="nil"/>
              <w:left w:val="nil"/>
              <w:bottom w:val="single" w:sz="4" w:space="0" w:color="auto"/>
              <w:right w:val="single" w:sz="4" w:space="0" w:color="auto"/>
            </w:tcBorders>
            <w:shd w:val="clear" w:color="auto" w:fill="auto"/>
            <w:noWrap/>
            <w:vAlign w:val="bottom"/>
            <w:hideMark/>
          </w:tcPr>
          <w:p w:rsidR="002C3898" w:rsidRPr="00EC6CB6" w:rsidRDefault="002C3898" w:rsidP="00FA5169">
            <w:pPr>
              <w:tabs>
                <w:tab w:val="left" w:pos="2880"/>
              </w:tabs>
              <w:jc w:val="right"/>
              <w:rPr>
                <w:rFonts w:asciiTheme="majorHAnsi" w:hAnsiTheme="majorHAnsi" w:cs="Arial"/>
                <w:sz w:val="16"/>
                <w:szCs w:val="16"/>
              </w:rPr>
            </w:pPr>
            <w:r w:rsidRPr="00EC6CB6">
              <w:rPr>
                <w:rFonts w:asciiTheme="majorHAnsi" w:hAnsiTheme="majorHAnsi" w:cs="Arial"/>
                <w:sz w:val="16"/>
                <w:szCs w:val="16"/>
              </w:rPr>
              <w:t>2,386</w:t>
            </w:r>
          </w:p>
        </w:tc>
      </w:tr>
    </w:tbl>
    <w:p w:rsidR="002C3898" w:rsidRPr="00EC6CB6" w:rsidRDefault="002C3898" w:rsidP="00524C24">
      <w:pPr>
        <w:tabs>
          <w:tab w:val="left" w:pos="2880"/>
        </w:tabs>
        <w:jc w:val="both"/>
        <w:rPr>
          <w:rFonts w:asciiTheme="majorHAnsi" w:hAnsiTheme="majorHAnsi"/>
          <w:b/>
          <w:u w:val="single"/>
        </w:rPr>
      </w:pPr>
    </w:p>
    <w:p w:rsidR="002C3898" w:rsidRPr="00EC6CB6" w:rsidRDefault="002C3898" w:rsidP="002C3898">
      <w:pPr>
        <w:tabs>
          <w:tab w:val="left" w:pos="2880"/>
        </w:tabs>
        <w:jc w:val="both"/>
        <w:rPr>
          <w:rFonts w:asciiTheme="majorHAnsi" w:hAnsiTheme="majorHAnsi"/>
          <w:b/>
          <w:u w:val="single"/>
        </w:rPr>
      </w:pPr>
      <w:r w:rsidRPr="00EC6CB6">
        <w:rPr>
          <w:rFonts w:asciiTheme="majorHAnsi" w:hAnsiTheme="majorHAnsi"/>
          <w:b/>
          <w:u w:val="single"/>
        </w:rPr>
        <w:t xml:space="preserve">Growth Rate : Scenario -2 </w:t>
      </w:r>
    </w:p>
    <w:p w:rsidR="002C3898" w:rsidRPr="00EC6CB6" w:rsidRDefault="002C3898" w:rsidP="002C3898">
      <w:pPr>
        <w:tabs>
          <w:tab w:val="left" w:pos="2880"/>
        </w:tabs>
        <w:ind w:left="-1080"/>
        <w:jc w:val="both"/>
        <w:rPr>
          <w:rFonts w:asciiTheme="majorHAnsi" w:hAnsiTheme="majorHAnsi"/>
          <w:b/>
          <w:u w:val="single"/>
        </w:rPr>
      </w:pPr>
    </w:p>
    <w:p w:rsidR="002C3898" w:rsidRPr="00EC6CB6" w:rsidRDefault="002C3898" w:rsidP="002C3898">
      <w:pPr>
        <w:tabs>
          <w:tab w:val="left" w:pos="2880"/>
        </w:tabs>
        <w:ind w:left="-1080"/>
        <w:jc w:val="both"/>
        <w:rPr>
          <w:rFonts w:asciiTheme="majorHAnsi" w:hAnsiTheme="majorHAnsi"/>
          <w:b/>
          <w:u w:val="single"/>
        </w:rPr>
      </w:pPr>
    </w:p>
    <w:tbl>
      <w:tblPr>
        <w:tblpPr w:leftFromText="180" w:rightFromText="180" w:vertAnchor="text" w:horzAnchor="margin" w:tblpXSpec="center" w:tblpY="-55"/>
        <w:tblW w:w="4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875"/>
        <w:gridCol w:w="704"/>
        <w:gridCol w:w="704"/>
        <w:gridCol w:w="720"/>
        <w:gridCol w:w="704"/>
      </w:tblGrid>
      <w:tr w:rsidR="002C3898" w:rsidRPr="00EC6CB6" w:rsidTr="00FA5169">
        <w:trPr>
          <w:trHeight w:val="380"/>
        </w:trPr>
        <w:tc>
          <w:tcPr>
            <w:tcW w:w="986" w:type="dxa"/>
            <w:shd w:val="clear" w:color="auto" w:fill="auto"/>
            <w:noWrap/>
            <w:vAlign w:val="bottom"/>
            <w:hideMark/>
          </w:tcPr>
          <w:p w:rsidR="002C3898" w:rsidRPr="00EC6CB6" w:rsidRDefault="002C3898" w:rsidP="00FA5169">
            <w:pPr>
              <w:tabs>
                <w:tab w:val="left" w:pos="2880"/>
              </w:tabs>
              <w:rPr>
                <w:rFonts w:asciiTheme="majorHAnsi" w:hAnsiTheme="majorHAnsi" w:cs="Arial"/>
              </w:rPr>
            </w:pPr>
            <w:r w:rsidRPr="00EC6CB6">
              <w:rPr>
                <w:rFonts w:asciiTheme="majorHAnsi" w:hAnsiTheme="majorHAnsi" w:cs="Arial"/>
              </w:rPr>
              <w:t>Year</w:t>
            </w:r>
          </w:p>
        </w:tc>
        <w:tc>
          <w:tcPr>
            <w:tcW w:w="875" w:type="dxa"/>
            <w:shd w:val="clear" w:color="auto" w:fill="auto"/>
            <w:noWrap/>
            <w:vAlign w:val="bottom"/>
            <w:hideMark/>
          </w:tcPr>
          <w:p w:rsidR="002C3898" w:rsidRPr="00EC6CB6" w:rsidRDefault="002C3898" w:rsidP="00FA5169">
            <w:pPr>
              <w:tabs>
                <w:tab w:val="left" w:pos="2880"/>
              </w:tabs>
              <w:jc w:val="right"/>
              <w:rPr>
                <w:rFonts w:asciiTheme="majorHAnsi" w:hAnsiTheme="majorHAnsi" w:cs="Arial"/>
              </w:rPr>
            </w:pPr>
            <w:r w:rsidRPr="00EC6CB6">
              <w:rPr>
                <w:rFonts w:asciiTheme="majorHAnsi" w:hAnsiTheme="majorHAnsi" w:cs="Arial"/>
              </w:rPr>
              <w:t>2009</w:t>
            </w:r>
          </w:p>
        </w:tc>
        <w:tc>
          <w:tcPr>
            <w:tcW w:w="704" w:type="dxa"/>
            <w:shd w:val="clear" w:color="auto" w:fill="auto"/>
            <w:noWrap/>
            <w:vAlign w:val="bottom"/>
            <w:hideMark/>
          </w:tcPr>
          <w:p w:rsidR="002C3898" w:rsidRPr="00EC6CB6" w:rsidRDefault="002C3898" w:rsidP="00FA5169">
            <w:pPr>
              <w:tabs>
                <w:tab w:val="left" w:pos="2880"/>
              </w:tabs>
              <w:jc w:val="right"/>
              <w:rPr>
                <w:rFonts w:asciiTheme="majorHAnsi" w:hAnsiTheme="majorHAnsi" w:cs="Arial"/>
              </w:rPr>
            </w:pPr>
            <w:r w:rsidRPr="00EC6CB6">
              <w:rPr>
                <w:rFonts w:asciiTheme="majorHAnsi" w:hAnsiTheme="majorHAnsi" w:cs="Arial"/>
              </w:rPr>
              <w:t>2008</w:t>
            </w:r>
          </w:p>
        </w:tc>
        <w:tc>
          <w:tcPr>
            <w:tcW w:w="704" w:type="dxa"/>
            <w:shd w:val="clear" w:color="auto" w:fill="auto"/>
            <w:noWrap/>
            <w:vAlign w:val="bottom"/>
            <w:hideMark/>
          </w:tcPr>
          <w:p w:rsidR="002C3898" w:rsidRPr="00EC6CB6" w:rsidRDefault="002C3898" w:rsidP="00FA5169">
            <w:pPr>
              <w:tabs>
                <w:tab w:val="left" w:pos="2880"/>
              </w:tabs>
              <w:jc w:val="right"/>
              <w:rPr>
                <w:rFonts w:asciiTheme="majorHAnsi" w:hAnsiTheme="majorHAnsi" w:cs="Arial"/>
              </w:rPr>
            </w:pPr>
            <w:r w:rsidRPr="00EC6CB6">
              <w:rPr>
                <w:rFonts w:asciiTheme="majorHAnsi" w:hAnsiTheme="majorHAnsi" w:cs="Arial"/>
              </w:rPr>
              <w:t>2007</w:t>
            </w:r>
          </w:p>
        </w:tc>
        <w:tc>
          <w:tcPr>
            <w:tcW w:w="720" w:type="dxa"/>
            <w:shd w:val="clear" w:color="auto" w:fill="auto"/>
            <w:noWrap/>
            <w:vAlign w:val="bottom"/>
            <w:hideMark/>
          </w:tcPr>
          <w:p w:rsidR="002C3898" w:rsidRPr="00EC6CB6" w:rsidRDefault="002C3898" w:rsidP="00FA5169">
            <w:pPr>
              <w:tabs>
                <w:tab w:val="left" w:pos="2880"/>
              </w:tabs>
              <w:jc w:val="right"/>
              <w:rPr>
                <w:rFonts w:asciiTheme="majorHAnsi" w:hAnsiTheme="majorHAnsi" w:cs="Arial"/>
              </w:rPr>
            </w:pPr>
            <w:r w:rsidRPr="00EC6CB6">
              <w:rPr>
                <w:rFonts w:asciiTheme="majorHAnsi" w:hAnsiTheme="majorHAnsi" w:cs="Arial"/>
              </w:rPr>
              <w:t>2006</w:t>
            </w:r>
          </w:p>
        </w:tc>
        <w:tc>
          <w:tcPr>
            <w:tcW w:w="704" w:type="dxa"/>
            <w:shd w:val="clear" w:color="auto" w:fill="auto"/>
            <w:noWrap/>
            <w:vAlign w:val="bottom"/>
            <w:hideMark/>
          </w:tcPr>
          <w:p w:rsidR="002C3898" w:rsidRPr="00EC6CB6" w:rsidRDefault="002C3898" w:rsidP="00FA5169">
            <w:pPr>
              <w:tabs>
                <w:tab w:val="left" w:pos="2880"/>
              </w:tabs>
              <w:jc w:val="right"/>
              <w:rPr>
                <w:rFonts w:asciiTheme="majorHAnsi" w:hAnsiTheme="majorHAnsi" w:cs="Arial"/>
              </w:rPr>
            </w:pPr>
            <w:r w:rsidRPr="00EC6CB6">
              <w:rPr>
                <w:rFonts w:asciiTheme="majorHAnsi" w:hAnsiTheme="majorHAnsi" w:cs="Arial"/>
              </w:rPr>
              <w:t>2005</w:t>
            </w:r>
          </w:p>
        </w:tc>
      </w:tr>
      <w:tr w:rsidR="002C3898" w:rsidRPr="00EC6CB6" w:rsidTr="00FA5169">
        <w:trPr>
          <w:trHeight w:val="380"/>
        </w:trPr>
        <w:tc>
          <w:tcPr>
            <w:tcW w:w="986" w:type="dxa"/>
            <w:shd w:val="clear" w:color="auto" w:fill="auto"/>
            <w:noWrap/>
            <w:vAlign w:val="bottom"/>
            <w:hideMark/>
          </w:tcPr>
          <w:p w:rsidR="002C3898" w:rsidRPr="00EC6CB6" w:rsidRDefault="002C3898" w:rsidP="00FA5169">
            <w:pPr>
              <w:tabs>
                <w:tab w:val="left" w:pos="2880"/>
              </w:tabs>
              <w:rPr>
                <w:rFonts w:asciiTheme="majorHAnsi" w:hAnsiTheme="majorHAnsi" w:cs="Arial"/>
              </w:rPr>
            </w:pPr>
            <w:r w:rsidRPr="00EC6CB6">
              <w:rPr>
                <w:rFonts w:asciiTheme="majorHAnsi" w:hAnsiTheme="majorHAnsi" w:cs="Arial"/>
              </w:rPr>
              <w:t>GDP</w:t>
            </w:r>
          </w:p>
        </w:tc>
        <w:tc>
          <w:tcPr>
            <w:tcW w:w="875" w:type="dxa"/>
            <w:shd w:val="clear" w:color="auto" w:fill="auto"/>
            <w:noWrap/>
            <w:vAlign w:val="bottom"/>
            <w:hideMark/>
          </w:tcPr>
          <w:p w:rsidR="002C3898" w:rsidRPr="00EC6CB6" w:rsidRDefault="002C3898" w:rsidP="00FA5169">
            <w:pPr>
              <w:tabs>
                <w:tab w:val="left" w:pos="2880"/>
              </w:tabs>
              <w:jc w:val="right"/>
              <w:rPr>
                <w:rFonts w:asciiTheme="majorHAnsi" w:hAnsiTheme="majorHAnsi" w:cs="Arial"/>
              </w:rPr>
            </w:pPr>
            <w:r w:rsidRPr="00EC6CB6">
              <w:rPr>
                <w:rFonts w:asciiTheme="majorHAnsi" w:hAnsiTheme="majorHAnsi" w:cs="Arial"/>
              </w:rPr>
              <w:t>5.88</w:t>
            </w:r>
          </w:p>
        </w:tc>
        <w:tc>
          <w:tcPr>
            <w:tcW w:w="704" w:type="dxa"/>
            <w:shd w:val="clear" w:color="auto" w:fill="auto"/>
            <w:noWrap/>
            <w:vAlign w:val="bottom"/>
            <w:hideMark/>
          </w:tcPr>
          <w:p w:rsidR="002C3898" w:rsidRPr="00EC6CB6" w:rsidRDefault="002C3898" w:rsidP="00FA5169">
            <w:pPr>
              <w:tabs>
                <w:tab w:val="left" w:pos="2880"/>
              </w:tabs>
              <w:jc w:val="right"/>
              <w:rPr>
                <w:rFonts w:asciiTheme="majorHAnsi" w:hAnsiTheme="majorHAnsi" w:cs="Arial"/>
              </w:rPr>
            </w:pPr>
            <w:r w:rsidRPr="00EC6CB6">
              <w:rPr>
                <w:rFonts w:asciiTheme="majorHAnsi" w:hAnsiTheme="majorHAnsi" w:cs="Arial"/>
              </w:rPr>
              <w:t>6.19</w:t>
            </w:r>
          </w:p>
        </w:tc>
        <w:tc>
          <w:tcPr>
            <w:tcW w:w="704" w:type="dxa"/>
            <w:shd w:val="clear" w:color="auto" w:fill="auto"/>
            <w:noWrap/>
            <w:vAlign w:val="bottom"/>
            <w:hideMark/>
          </w:tcPr>
          <w:p w:rsidR="002C3898" w:rsidRPr="00EC6CB6" w:rsidRDefault="002C3898" w:rsidP="00FA5169">
            <w:pPr>
              <w:tabs>
                <w:tab w:val="left" w:pos="2880"/>
              </w:tabs>
              <w:jc w:val="right"/>
              <w:rPr>
                <w:rFonts w:asciiTheme="majorHAnsi" w:hAnsiTheme="majorHAnsi" w:cs="Arial"/>
              </w:rPr>
            </w:pPr>
            <w:r w:rsidRPr="00EC6CB6">
              <w:rPr>
                <w:rFonts w:asciiTheme="majorHAnsi" w:hAnsiTheme="majorHAnsi" w:cs="Arial"/>
              </w:rPr>
              <w:t>6.43</w:t>
            </w:r>
          </w:p>
        </w:tc>
        <w:tc>
          <w:tcPr>
            <w:tcW w:w="720" w:type="dxa"/>
            <w:shd w:val="clear" w:color="auto" w:fill="auto"/>
            <w:noWrap/>
            <w:vAlign w:val="bottom"/>
            <w:hideMark/>
          </w:tcPr>
          <w:p w:rsidR="002C3898" w:rsidRPr="00EC6CB6" w:rsidRDefault="002C3898" w:rsidP="00FA5169">
            <w:pPr>
              <w:tabs>
                <w:tab w:val="left" w:pos="2880"/>
              </w:tabs>
              <w:jc w:val="right"/>
              <w:rPr>
                <w:rFonts w:asciiTheme="majorHAnsi" w:hAnsiTheme="majorHAnsi" w:cs="Arial"/>
              </w:rPr>
            </w:pPr>
            <w:r w:rsidRPr="00EC6CB6">
              <w:rPr>
                <w:rFonts w:asciiTheme="majorHAnsi" w:hAnsiTheme="majorHAnsi" w:cs="Arial"/>
              </w:rPr>
              <w:t>6.63</w:t>
            </w:r>
          </w:p>
        </w:tc>
        <w:tc>
          <w:tcPr>
            <w:tcW w:w="704" w:type="dxa"/>
            <w:shd w:val="clear" w:color="auto" w:fill="auto"/>
            <w:noWrap/>
            <w:vAlign w:val="bottom"/>
            <w:hideMark/>
          </w:tcPr>
          <w:p w:rsidR="002C3898" w:rsidRPr="00EC6CB6" w:rsidRDefault="002C3898" w:rsidP="00FA5169">
            <w:pPr>
              <w:tabs>
                <w:tab w:val="left" w:pos="2880"/>
              </w:tabs>
              <w:jc w:val="right"/>
              <w:rPr>
                <w:rFonts w:asciiTheme="majorHAnsi" w:hAnsiTheme="majorHAnsi" w:cs="Arial"/>
              </w:rPr>
            </w:pPr>
            <w:r w:rsidRPr="00EC6CB6">
              <w:rPr>
                <w:rFonts w:asciiTheme="majorHAnsi" w:hAnsiTheme="majorHAnsi" w:cs="Arial"/>
              </w:rPr>
              <w:t>5.96</w:t>
            </w:r>
          </w:p>
        </w:tc>
      </w:tr>
      <w:tr w:rsidR="002C3898" w:rsidRPr="00EC6CB6" w:rsidTr="00FA5169">
        <w:trPr>
          <w:trHeight w:val="380"/>
        </w:trPr>
        <w:tc>
          <w:tcPr>
            <w:tcW w:w="986" w:type="dxa"/>
            <w:shd w:val="clear" w:color="auto" w:fill="auto"/>
            <w:noWrap/>
            <w:vAlign w:val="bottom"/>
            <w:hideMark/>
          </w:tcPr>
          <w:p w:rsidR="002C3898" w:rsidRPr="00EC6CB6" w:rsidRDefault="002C3898" w:rsidP="00FA5169">
            <w:pPr>
              <w:tabs>
                <w:tab w:val="left" w:pos="2880"/>
              </w:tabs>
              <w:rPr>
                <w:rFonts w:asciiTheme="majorHAnsi" w:hAnsiTheme="majorHAnsi" w:cs="Arial"/>
              </w:rPr>
            </w:pPr>
            <w:r w:rsidRPr="00EC6CB6">
              <w:rPr>
                <w:rFonts w:asciiTheme="majorHAnsi" w:hAnsiTheme="majorHAnsi" w:cs="Arial"/>
              </w:rPr>
              <w:t>Average of GDP</w:t>
            </w:r>
          </w:p>
        </w:tc>
        <w:tc>
          <w:tcPr>
            <w:tcW w:w="3707" w:type="dxa"/>
            <w:gridSpan w:val="5"/>
            <w:shd w:val="clear" w:color="auto" w:fill="auto"/>
            <w:noWrap/>
            <w:vAlign w:val="bottom"/>
            <w:hideMark/>
          </w:tcPr>
          <w:p w:rsidR="002C3898" w:rsidRPr="00EC6CB6" w:rsidRDefault="002C3898" w:rsidP="00FA5169">
            <w:pPr>
              <w:tabs>
                <w:tab w:val="left" w:pos="2880"/>
              </w:tabs>
              <w:rPr>
                <w:rFonts w:asciiTheme="majorHAnsi" w:hAnsiTheme="majorHAnsi" w:cs="Arial"/>
              </w:rPr>
            </w:pPr>
            <w:r w:rsidRPr="00EC6CB6">
              <w:rPr>
                <w:rFonts w:asciiTheme="majorHAnsi" w:hAnsiTheme="majorHAnsi" w:cs="Arial"/>
              </w:rPr>
              <w:t xml:space="preserve">                      6.2%</w:t>
            </w:r>
          </w:p>
        </w:tc>
      </w:tr>
    </w:tbl>
    <w:p w:rsidR="002C3898" w:rsidRPr="00EC6CB6" w:rsidRDefault="002C3898" w:rsidP="002C3898">
      <w:pPr>
        <w:tabs>
          <w:tab w:val="left" w:pos="2880"/>
        </w:tabs>
        <w:rPr>
          <w:rFonts w:asciiTheme="majorHAnsi" w:hAnsiTheme="majorHAnsi"/>
        </w:rPr>
      </w:pPr>
    </w:p>
    <w:p w:rsidR="002C3898" w:rsidRPr="00EC6CB6" w:rsidRDefault="002C3898" w:rsidP="002C3898">
      <w:pPr>
        <w:tabs>
          <w:tab w:val="left" w:pos="2880"/>
        </w:tabs>
        <w:rPr>
          <w:rFonts w:asciiTheme="majorHAnsi" w:hAnsiTheme="majorHAnsi"/>
        </w:rPr>
      </w:pPr>
    </w:p>
    <w:p w:rsidR="002C3898" w:rsidRDefault="002C3898" w:rsidP="002C3898">
      <w:pPr>
        <w:tabs>
          <w:tab w:val="left" w:pos="2880"/>
        </w:tabs>
        <w:rPr>
          <w:rFonts w:asciiTheme="majorHAnsi" w:hAnsiTheme="majorHAnsi"/>
        </w:rPr>
      </w:pPr>
    </w:p>
    <w:p w:rsidR="002C3898" w:rsidRDefault="002C3898" w:rsidP="002C3898">
      <w:pPr>
        <w:tabs>
          <w:tab w:val="left" w:pos="2880"/>
        </w:tabs>
        <w:rPr>
          <w:rFonts w:asciiTheme="majorHAnsi" w:hAnsiTheme="majorHAnsi"/>
        </w:rPr>
      </w:pPr>
    </w:p>
    <w:p w:rsidR="002C3898" w:rsidRDefault="002C3898" w:rsidP="002C3898">
      <w:pPr>
        <w:tabs>
          <w:tab w:val="left" w:pos="2880"/>
        </w:tabs>
        <w:rPr>
          <w:rFonts w:asciiTheme="majorHAnsi" w:hAnsiTheme="majorHAnsi"/>
        </w:rPr>
      </w:pPr>
    </w:p>
    <w:p w:rsidR="002C3898" w:rsidRDefault="002C3898" w:rsidP="002C3898">
      <w:pPr>
        <w:tabs>
          <w:tab w:val="left" w:pos="2880"/>
        </w:tabs>
        <w:rPr>
          <w:rFonts w:asciiTheme="majorHAnsi" w:hAnsiTheme="majorHAnsi"/>
        </w:rPr>
      </w:pPr>
    </w:p>
    <w:tbl>
      <w:tblPr>
        <w:tblpPr w:leftFromText="180" w:rightFromText="180" w:vertAnchor="text" w:horzAnchor="margin" w:tblpY="232"/>
        <w:tblW w:w="9198" w:type="dxa"/>
        <w:tblLook w:val="04A0"/>
      </w:tblPr>
      <w:tblGrid>
        <w:gridCol w:w="2240"/>
        <w:gridCol w:w="1079"/>
        <w:gridCol w:w="1464"/>
        <w:gridCol w:w="1079"/>
        <w:gridCol w:w="1079"/>
        <w:gridCol w:w="1165"/>
        <w:gridCol w:w="1079"/>
        <w:gridCol w:w="13"/>
      </w:tblGrid>
      <w:tr w:rsidR="00524C24" w:rsidRPr="00B8038A" w:rsidTr="00524C24">
        <w:trPr>
          <w:gridAfter w:val="1"/>
          <w:wAfter w:w="13" w:type="dxa"/>
          <w:trHeight w:val="272"/>
        </w:trPr>
        <w:tc>
          <w:tcPr>
            <w:tcW w:w="0" w:type="auto"/>
            <w:tcBorders>
              <w:top w:val="nil"/>
              <w:left w:val="nil"/>
              <w:bottom w:val="nil"/>
              <w:right w:val="nil"/>
            </w:tcBorders>
            <w:shd w:val="clear" w:color="auto" w:fill="auto"/>
            <w:noWrap/>
            <w:vAlign w:val="bottom"/>
            <w:hideMark/>
          </w:tcPr>
          <w:p w:rsidR="00524C24" w:rsidRPr="00E03D2C" w:rsidRDefault="00524C24" w:rsidP="00524C24">
            <w:pPr>
              <w:tabs>
                <w:tab w:val="left" w:pos="2880"/>
              </w:tabs>
              <w:rPr>
                <w:rFonts w:asciiTheme="majorHAnsi" w:hAnsiTheme="majorHAnsi" w:cs="Arial"/>
                <w:b/>
                <w:sz w:val="16"/>
                <w:szCs w:val="16"/>
              </w:rPr>
            </w:pPr>
            <w:r w:rsidRPr="00E03D2C">
              <w:rPr>
                <w:rFonts w:asciiTheme="majorHAnsi" w:hAnsiTheme="majorHAnsi" w:cs="Arial"/>
                <w:b/>
                <w:sz w:val="16"/>
                <w:szCs w:val="16"/>
              </w:rPr>
              <w:t>GDP Growth Rate : 6.2%</w:t>
            </w:r>
          </w:p>
        </w:tc>
        <w:tc>
          <w:tcPr>
            <w:tcW w:w="0" w:type="auto"/>
            <w:tcBorders>
              <w:top w:val="nil"/>
              <w:left w:val="nil"/>
              <w:bottom w:val="nil"/>
              <w:right w:val="nil"/>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p>
        </w:tc>
        <w:tc>
          <w:tcPr>
            <w:tcW w:w="0" w:type="auto"/>
            <w:tcBorders>
              <w:top w:val="nil"/>
              <w:left w:val="nil"/>
              <w:bottom w:val="nil"/>
              <w:right w:val="nil"/>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p>
        </w:tc>
        <w:tc>
          <w:tcPr>
            <w:tcW w:w="0" w:type="auto"/>
            <w:tcBorders>
              <w:top w:val="nil"/>
              <w:left w:val="nil"/>
              <w:bottom w:val="nil"/>
              <w:right w:val="nil"/>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p>
        </w:tc>
        <w:tc>
          <w:tcPr>
            <w:tcW w:w="0" w:type="auto"/>
            <w:tcBorders>
              <w:top w:val="nil"/>
              <w:left w:val="nil"/>
              <w:bottom w:val="nil"/>
              <w:right w:val="nil"/>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p>
        </w:tc>
        <w:tc>
          <w:tcPr>
            <w:tcW w:w="1165" w:type="dxa"/>
            <w:tcBorders>
              <w:top w:val="nil"/>
              <w:left w:val="nil"/>
              <w:bottom w:val="nil"/>
              <w:right w:val="nil"/>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p>
        </w:tc>
        <w:tc>
          <w:tcPr>
            <w:tcW w:w="1079" w:type="dxa"/>
            <w:tcBorders>
              <w:top w:val="nil"/>
              <w:left w:val="nil"/>
              <w:bottom w:val="nil"/>
              <w:right w:val="nil"/>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p>
        </w:tc>
      </w:tr>
      <w:tr w:rsidR="00524C24" w:rsidRPr="00B8038A" w:rsidTr="00524C24">
        <w:trPr>
          <w:trHeight w:val="27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Current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5 Years Projection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 </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 </w:t>
            </w:r>
          </w:p>
        </w:tc>
      </w:tr>
      <w:tr w:rsidR="00524C24" w:rsidRPr="00B8038A" w:rsidTr="00524C24">
        <w:trPr>
          <w:gridAfter w:val="1"/>
          <w:wAfter w:w="13" w:type="dxa"/>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Year</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2,012</w:t>
            </w:r>
          </w:p>
        </w:tc>
        <w:tc>
          <w:tcPr>
            <w:tcW w:w="1165"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2,013</w:t>
            </w:r>
          </w:p>
        </w:tc>
        <w:tc>
          <w:tcPr>
            <w:tcW w:w="1079"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2,014</w:t>
            </w:r>
          </w:p>
        </w:tc>
      </w:tr>
      <w:tr w:rsidR="00524C24" w:rsidRPr="00B8038A" w:rsidTr="00524C24">
        <w:trPr>
          <w:gridAfter w:val="1"/>
          <w:wAfter w:w="13" w:type="dxa"/>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Growth Rate</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6.20</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6.20</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6.20</w:t>
            </w:r>
          </w:p>
        </w:tc>
        <w:tc>
          <w:tcPr>
            <w:tcW w:w="1165"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6.20</w:t>
            </w:r>
          </w:p>
        </w:tc>
        <w:tc>
          <w:tcPr>
            <w:tcW w:w="1079"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6.20</w:t>
            </w:r>
          </w:p>
        </w:tc>
      </w:tr>
      <w:tr w:rsidR="00524C24" w:rsidRPr="00B8038A" w:rsidTr="00524C24">
        <w:trPr>
          <w:gridAfter w:val="1"/>
          <w:wAfter w:w="13" w:type="dxa"/>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Sales</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104,409,785</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110,883,192</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117,757,950</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125,058,942</w:t>
            </w:r>
          </w:p>
        </w:tc>
        <w:tc>
          <w:tcPr>
            <w:tcW w:w="1165"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132,812,597</w:t>
            </w:r>
          </w:p>
        </w:tc>
        <w:tc>
          <w:tcPr>
            <w:tcW w:w="1079"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141,046,978</w:t>
            </w:r>
          </w:p>
        </w:tc>
      </w:tr>
      <w:tr w:rsidR="00524C24" w:rsidRPr="00B8038A" w:rsidTr="00524C24">
        <w:trPr>
          <w:gridAfter w:val="1"/>
          <w:wAfter w:w="13" w:type="dxa"/>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Net Income</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1,531,625</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1,626,586</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1,727,434</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1,834,535</w:t>
            </w:r>
          </w:p>
        </w:tc>
        <w:tc>
          <w:tcPr>
            <w:tcW w:w="1165"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1,948,276</w:t>
            </w:r>
          </w:p>
        </w:tc>
        <w:tc>
          <w:tcPr>
            <w:tcW w:w="1079"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2,069,069</w:t>
            </w:r>
          </w:p>
        </w:tc>
      </w:tr>
      <w:tr w:rsidR="00524C24" w:rsidRPr="00B8038A" w:rsidTr="00524C24">
        <w:trPr>
          <w:gridAfter w:val="1"/>
          <w:wAfter w:w="13" w:type="dxa"/>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Dividend</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1,350,000</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1,350,000</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1,350,000</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1,350,000</w:t>
            </w:r>
          </w:p>
        </w:tc>
        <w:tc>
          <w:tcPr>
            <w:tcW w:w="1165"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1,350,000</w:t>
            </w:r>
          </w:p>
        </w:tc>
        <w:tc>
          <w:tcPr>
            <w:tcW w:w="1079"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1,350,000</w:t>
            </w:r>
          </w:p>
        </w:tc>
      </w:tr>
      <w:tr w:rsidR="00524C24" w:rsidRPr="00B8038A" w:rsidTr="00524C24">
        <w:trPr>
          <w:gridAfter w:val="1"/>
          <w:wAfter w:w="13" w:type="dxa"/>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Addition to retained Earnings</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1,396,625</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1,483,216</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1,575,175</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1,672,836</w:t>
            </w:r>
          </w:p>
        </w:tc>
        <w:tc>
          <w:tcPr>
            <w:tcW w:w="1165"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1,776,552</w:t>
            </w:r>
          </w:p>
        </w:tc>
        <w:tc>
          <w:tcPr>
            <w:tcW w:w="1079"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1,886,698</w:t>
            </w:r>
          </w:p>
        </w:tc>
      </w:tr>
      <w:tr w:rsidR="00524C24" w:rsidRPr="00B8038A" w:rsidTr="00524C24">
        <w:trPr>
          <w:gridAfter w:val="1"/>
          <w:wAfter w:w="13" w:type="dxa"/>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Total Assets</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83,483,416</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88,659,388</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94,156,270</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99,993,959</w:t>
            </w:r>
          </w:p>
        </w:tc>
        <w:tc>
          <w:tcPr>
            <w:tcW w:w="1165"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106,193,584</w:t>
            </w:r>
          </w:p>
        </w:tc>
        <w:tc>
          <w:tcPr>
            <w:tcW w:w="1079"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112,777,586</w:t>
            </w:r>
          </w:p>
        </w:tc>
      </w:tr>
      <w:tr w:rsidR="00524C24" w:rsidRPr="00B8038A" w:rsidTr="00524C24">
        <w:trPr>
          <w:gridAfter w:val="1"/>
          <w:wAfter w:w="13" w:type="dxa"/>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Total Debt</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68,651,235</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72,907,612</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77,427,883</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82,228,412</w:t>
            </w:r>
          </w:p>
        </w:tc>
        <w:tc>
          <w:tcPr>
            <w:tcW w:w="1165"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87,326,574</w:t>
            </w:r>
          </w:p>
        </w:tc>
        <w:tc>
          <w:tcPr>
            <w:tcW w:w="1079"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92,740,821</w:t>
            </w:r>
          </w:p>
        </w:tc>
      </w:tr>
      <w:tr w:rsidR="00524C24" w:rsidRPr="00B8038A" w:rsidTr="00524C24">
        <w:trPr>
          <w:gridAfter w:val="1"/>
          <w:wAfter w:w="13" w:type="dxa"/>
          <w:trHeight w:val="272"/>
        </w:trPr>
        <w:tc>
          <w:tcPr>
            <w:tcW w:w="0" w:type="auto"/>
            <w:tcBorders>
              <w:top w:val="nil"/>
              <w:left w:val="single" w:sz="4" w:space="0" w:color="auto"/>
              <w:bottom w:val="single" w:sz="4" w:space="0" w:color="auto"/>
              <w:right w:val="single" w:sz="4" w:space="0" w:color="auto"/>
            </w:tcBorders>
            <w:shd w:val="clear" w:color="000000" w:fill="C2D69A"/>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Common Stock</w:t>
            </w:r>
          </w:p>
        </w:tc>
        <w:tc>
          <w:tcPr>
            <w:tcW w:w="0" w:type="auto"/>
            <w:tcBorders>
              <w:top w:val="nil"/>
              <w:left w:val="nil"/>
              <w:bottom w:val="single" w:sz="4" w:space="0" w:color="auto"/>
              <w:right w:val="single" w:sz="4" w:space="0" w:color="auto"/>
            </w:tcBorders>
            <w:shd w:val="clear" w:color="000000" w:fill="C2D69A"/>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9,000,000</w:t>
            </w:r>
          </w:p>
        </w:tc>
        <w:tc>
          <w:tcPr>
            <w:tcW w:w="0" w:type="auto"/>
            <w:tcBorders>
              <w:top w:val="nil"/>
              <w:left w:val="nil"/>
              <w:bottom w:val="single" w:sz="4" w:space="0" w:color="auto"/>
              <w:right w:val="single" w:sz="4" w:space="0" w:color="auto"/>
            </w:tcBorders>
            <w:shd w:val="clear" w:color="000000" w:fill="C2D69A"/>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9,000,000</w:t>
            </w:r>
          </w:p>
        </w:tc>
        <w:tc>
          <w:tcPr>
            <w:tcW w:w="0" w:type="auto"/>
            <w:tcBorders>
              <w:top w:val="nil"/>
              <w:left w:val="nil"/>
              <w:bottom w:val="single" w:sz="4" w:space="0" w:color="auto"/>
              <w:right w:val="single" w:sz="4" w:space="0" w:color="auto"/>
            </w:tcBorders>
            <w:shd w:val="clear" w:color="000000" w:fill="C2D69A"/>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9,000,000</w:t>
            </w:r>
          </w:p>
        </w:tc>
        <w:tc>
          <w:tcPr>
            <w:tcW w:w="0" w:type="auto"/>
            <w:tcBorders>
              <w:top w:val="nil"/>
              <w:left w:val="nil"/>
              <w:bottom w:val="single" w:sz="4" w:space="0" w:color="auto"/>
              <w:right w:val="single" w:sz="4" w:space="0" w:color="auto"/>
            </w:tcBorders>
            <w:shd w:val="clear" w:color="000000" w:fill="C2D69A"/>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9,000,000</w:t>
            </w:r>
          </w:p>
        </w:tc>
        <w:tc>
          <w:tcPr>
            <w:tcW w:w="1165" w:type="dxa"/>
            <w:tcBorders>
              <w:top w:val="nil"/>
              <w:left w:val="nil"/>
              <w:bottom w:val="single" w:sz="4" w:space="0" w:color="auto"/>
              <w:right w:val="single" w:sz="4" w:space="0" w:color="auto"/>
            </w:tcBorders>
            <w:shd w:val="clear" w:color="000000" w:fill="C2D69A"/>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9,000,000</w:t>
            </w:r>
          </w:p>
        </w:tc>
        <w:tc>
          <w:tcPr>
            <w:tcW w:w="1079" w:type="dxa"/>
            <w:tcBorders>
              <w:top w:val="nil"/>
              <w:left w:val="nil"/>
              <w:bottom w:val="single" w:sz="4" w:space="0" w:color="auto"/>
              <w:right w:val="single" w:sz="4" w:space="0" w:color="auto"/>
            </w:tcBorders>
            <w:shd w:val="clear" w:color="000000" w:fill="C2D69A"/>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9,000,000</w:t>
            </w:r>
          </w:p>
        </w:tc>
      </w:tr>
      <w:tr w:rsidR="00524C24" w:rsidRPr="00B8038A" w:rsidTr="00524C24">
        <w:trPr>
          <w:gridAfter w:val="1"/>
          <w:wAfter w:w="13" w:type="dxa"/>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Retained Earnings</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5,832,181</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7,315,397</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8,890,572</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10,563,408</w:t>
            </w:r>
          </w:p>
        </w:tc>
        <w:tc>
          <w:tcPr>
            <w:tcW w:w="1165"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12,339,960</w:t>
            </w:r>
          </w:p>
        </w:tc>
        <w:tc>
          <w:tcPr>
            <w:tcW w:w="1079"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14,226,658</w:t>
            </w:r>
          </w:p>
        </w:tc>
      </w:tr>
      <w:tr w:rsidR="00524C24" w:rsidRPr="00B8038A" w:rsidTr="00524C24">
        <w:trPr>
          <w:gridAfter w:val="1"/>
          <w:wAfter w:w="13" w:type="dxa"/>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Total Financing</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83,483,416</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89,223,008</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95,318,455</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101,791,820</w:t>
            </w:r>
          </w:p>
        </w:tc>
        <w:tc>
          <w:tcPr>
            <w:tcW w:w="1165"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108,666,534</w:t>
            </w:r>
          </w:p>
        </w:tc>
        <w:tc>
          <w:tcPr>
            <w:tcW w:w="1079"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115,967,479</w:t>
            </w:r>
          </w:p>
        </w:tc>
      </w:tr>
      <w:tr w:rsidR="00524C24" w:rsidRPr="00B8038A" w:rsidTr="00524C24">
        <w:trPr>
          <w:gridAfter w:val="1"/>
          <w:wAfter w:w="13" w:type="dxa"/>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Fund Needed</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-563,621</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-1,162,186</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-1,797,862</w:t>
            </w:r>
          </w:p>
        </w:tc>
        <w:tc>
          <w:tcPr>
            <w:tcW w:w="1165"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-2,472,950</w:t>
            </w:r>
          </w:p>
        </w:tc>
        <w:tc>
          <w:tcPr>
            <w:tcW w:w="1079"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-3,189,893</w:t>
            </w:r>
          </w:p>
        </w:tc>
      </w:tr>
      <w:tr w:rsidR="00524C24" w:rsidRPr="00B8038A" w:rsidTr="00524C24">
        <w:trPr>
          <w:gridAfter w:val="1"/>
          <w:wAfter w:w="13" w:type="dxa"/>
          <w:trHeight w:val="272"/>
        </w:trPr>
        <w:tc>
          <w:tcPr>
            <w:tcW w:w="0" w:type="auto"/>
            <w:tcBorders>
              <w:top w:val="nil"/>
              <w:left w:val="single" w:sz="4" w:space="0" w:color="auto"/>
              <w:bottom w:val="single" w:sz="4" w:space="0" w:color="auto"/>
              <w:right w:val="single" w:sz="4" w:space="0" w:color="auto"/>
            </w:tcBorders>
            <w:shd w:val="clear" w:color="000000" w:fill="C2D69A"/>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Sustainable Growth Rate</w:t>
            </w:r>
          </w:p>
        </w:tc>
        <w:tc>
          <w:tcPr>
            <w:tcW w:w="0" w:type="auto"/>
            <w:tcBorders>
              <w:top w:val="nil"/>
              <w:left w:val="nil"/>
              <w:bottom w:val="single" w:sz="4" w:space="0" w:color="auto"/>
              <w:right w:val="single" w:sz="4" w:space="0" w:color="auto"/>
            </w:tcBorders>
            <w:shd w:val="clear" w:color="000000" w:fill="C2D69A"/>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0.012400</w:t>
            </w:r>
          </w:p>
        </w:tc>
        <w:tc>
          <w:tcPr>
            <w:tcW w:w="0" w:type="auto"/>
            <w:tcBorders>
              <w:top w:val="nil"/>
              <w:left w:val="nil"/>
              <w:bottom w:val="single" w:sz="4" w:space="0" w:color="auto"/>
              <w:right w:val="single" w:sz="4" w:space="0" w:color="auto"/>
            </w:tcBorders>
            <w:shd w:val="clear" w:color="000000" w:fill="C2D69A"/>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0.012400</w:t>
            </w:r>
          </w:p>
        </w:tc>
        <w:tc>
          <w:tcPr>
            <w:tcW w:w="0" w:type="auto"/>
            <w:tcBorders>
              <w:top w:val="nil"/>
              <w:left w:val="nil"/>
              <w:bottom w:val="single" w:sz="4" w:space="0" w:color="auto"/>
              <w:right w:val="single" w:sz="4" w:space="0" w:color="auto"/>
            </w:tcBorders>
            <w:shd w:val="clear" w:color="000000" w:fill="C2D69A"/>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0.012400</w:t>
            </w:r>
          </w:p>
        </w:tc>
        <w:tc>
          <w:tcPr>
            <w:tcW w:w="0" w:type="auto"/>
            <w:tcBorders>
              <w:top w:val="nil"/>
              <w:left w:val="nil"/>
              <w:bottom w:val="single" w:sz="4" w:space="0" w:color="auto"/>
              <w:right w:val="single" w:sz="4" w:space="0" w:color="auto"/>
            </w:tcBorders>
            <w:shd w:val="clear" w:color="000000" w:fill="C2D69A"/>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0.012400</w:t>
            </w:r>
          </w:p>
        </w:tc>
        <w:tc>
          <w:tcPr>
            <w:tcW w:w="1165" w:type="dxa"/>
            <w:tcBorders>
              <w:top w:val="nil"/>
              <w:left w:val="nil"/>
              <w:bottom w:val="single" w:sz="4" w:space="0" w:color="auto"/>
              <w:right w:val="single" w:sz="4" w:space="0" w:color="auto"/>
            </w:tcBorders>
            <w:shd w:val="clear" w:color="000000" w:fill="C2D69A"/>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0.012400</w:t>
            </w:r>
          </w:p>
        </w:tc>
        <w:tc>
          <w:tcPr>
            <w:tcW w:w="1079" w:type="dxa"/>
            <w:tcBorders>
              <w:top w:val="nil"/>
              <w:left w:val="nil"/>
              <w:bottom w:val="single" w:sz="4" w:space="0" w:color="auto"/>
              <w:right w:val="single" w:sz="4" w:space="0" w:color="auto"/>
            </w:tcBorders>
            <w:shd w:val="clear" w:color="000000" w:fill="C2D69A"/>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0.012400</w:t>
            </w:r>
          </w:p>
        </w:tc>
      </w:tr>
      <w:tr w:rsidR="00524C24" w:rsidRPr="00B8038A" w:rsidTr="00524C24">
        <w:trPr>
          <w:gridAfter w:val="1"/>
          <w:wAfter w:w="13" w:type="dxa"/>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EPS</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17.0181</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18.0732</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19.1937</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20.3837</w:t>
            </w:r>
          </w:p>
        </w:tc>
        <w:tc>
          <w:tcPr>
            <w:tcW w:w="1165"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21.6475</w:t>
            </w:r>
          </w:p>
        </w:tc>
        <w:tc>
          <w:tcPr>
            <w:tcW w:w="1079"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22.9897</w:t>
            </w:r>
          </w:p>
        </w:tc>
      </w:tr>
      <w:tr w:rsidR="00524C24" w:rsidRPr="00B8038A" w:rsidTr="00524C24">
        <w:trPr>
          <w:gridAfter w:val="1"/>
          <w:wAfter w:w="13" w:type="dxa"/>
          <w:trHeight w:val="272"/>
        </w:trPr>
        <w:tc>
          <w:tcPr>
            <w:tcW w:w="0" w:type="auto"/>
            <w:tcBorders>
              <w:top w:val="nil"/>
              <w:left w:val="single" w:sz="4" w:space="0" w:color="auto"/>
              <w:bottom w:val="single" w:sz="4" w:space="0" w:color="auto"/>
              <w:right w:val="single" w:sz="4" w:space="0" w:color="auto"/>
            </w:tcBorders>
            <w:shd w:val="clear" w:color="auto" w:fill="auto"/>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Price</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rPr>
                <w:rFonts w:asciiTheme="majorHAnsi" w:hAnsiTheme="majorHAnsi" w:cs="Arial"/>
                <w:sz w:val="16"/>
                <w:szCs w:val="16"/>
              </w:rPr>
            </w:pPr>
            <w:r w:rsidRPr="00B8038A">
              <w:rPr>
                <w:rFonts w:asciiTheme="majorHAnsi" w:hAnsiTheme="majorHAnsi" w:cs="Arial"/>
                <w:sz w:val="16"/>
                <w:szCs w:val="16"/>
              </w:rPr>
              <w:t xml:space="preserve">      1,669.75 </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1,773</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1,883</w:t>
            </w:r>
          </w:p>
        </w:tc>
        <w:tc>
          <w:tcPr>
            <w:tcW w:w="0" w:type="auto"/>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2,000</w:t>
            </w:r>
          </w:p>
        </w:tc>
        <w:tc>
          <w:tcPr>
            <w:tcW w:w="1165"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2,124</w:t>
            </w:r>
          </w:p>
        </w:tc>
        <w:tc>
          <w:tcPr>
            <w:tcW w:w="1079" w:type="dxa"/>
            <w:tcBorders>
              <w:top w:val="nil"/>
              <w:left w:val="nil"/>
              <w:bottom w:val="single" w:sz="4" w:space="0" w:color="auto"/>
              <w:right w:val="single" w:sz="4" w:space="0" w:color="auto"/>
            </w:tcBorders>
            <w:shd w:val="clear" w:color="auto" w:fill="auto"/>
            <w:noWrap/>
            <w:vAlign w:val="bottom"/>
            <w:hideMark/>
          </w:tcPr>
          <w:p w:rsidR="00524C24" w:rsidRPr="00B8038A" w:rsidRDefault="00524C24" w:rsidP="00524C24">
            <w:pPr>
              <w:tabs>
                <w:tab w:val="left" w:pos="2880"/>
              </w:tabs>
              <w:jc w:val="right"/>
              <w:rPr>
                <w:rFonts w:asciiTheme="majorHAnsi" w:hAnsiTheme="majorHAnsi" w:cs="Arial"/>
                <w:sz w:val="16"/>
                <w:szCs w:val="16"/>
              </w:rPr>
            </w:pPr>
            <w:r w:rsidRPr="00B8038A">
              <w:rPr>
                <w:rFonts w:asciiTheme="majorHAnsi" w:hAnsiTheme="majorHAnsi" w:cs="Arial"/>
                <w:sz w:val="16"/>
                <w:szCs w:val="16"/>
              </w:rPr>
              <w:t>2,256</w:t>
            </w:r>
          </w:p>
        </w:tc>
      </w:tr>
    </w:tbl>
    <w:p w:rsidR="002C3898" w:rsidRDefault="002C3898" w:rsidP="002C3898">
      <w:pPr>
        <w:tabs>
          <w:tab w:val="left" w:pos="2880"/>
        </w:tabs>
        <w:rPr>
          <w:rFonts w:asciiTheme="majorHAnsi" w:hAnsiTheme="majorHAnsi"/>
        </w:rPr>
      </w:pPr>
    </w:p>
    <w:p w:rsidR="002C3898" w:rsidRDefault="002C3898" w:rsidP="002C3898">
      <w:pPr>
        <w:tabs>
          <w:tab w:val="left" w:pos="2880"/>
        </w:tabs>
        <w:rPr>
          <w:rFonts w:asciiTheme="majorHAnsi" w:hAnsiTheme="majorHAnsi"/>
        </w:rPr>
      </w:pPr>
    </w:p>
    <w:p w:rsidR="002C3898" w:rsidRDefault="002C3898" w:rsidP="002C3898">
      <w:pPr>
        <w:tabs>
          <w:tab w:val="left" w:pos="2880"/>
        </w:tabs>
        <w:rPr>
          <w:rFonts w:asciiTheme="majorHAnsi" w:hAnsiTheme="majorHAnsi"/>
        </w:rPr>
      </w:pPr>
    </w:p>
    <w:p w:rsidR="002C3898" w:rsidRDefault="002C3898" w:rsidP="002C3898">
      <w:pPr>
        <w:tabs>
          <w:tab w:val="left" w:pos="2880"/>
        </w:tabs>
        <w:rPr>
          <w:rFonts w:asciiTheme="majorHAnsi" w:hAnsiTheme="majorHAnsi"/>
        </w:rPr>
      </w:pPr>
    </w:p>
    <w:p w:rsidR="002C3898" w:rsidRPr="00FA5169" w:rsidRDefault="002C3898" w:rsidP="002C3898">
      <w:pPr>
        <w:tabs>
          <w:tab w:val="left" w:pos="2880"/>
        </w:tabs>
        <w:jc w:val="both"/>
        <w:rPr>
          <w:rFonts w:asciiTheme="majorHAnsi" w:hAnsiTheme="majorHAnsi"/>
          <w:b/>
          <w:u w:val="single"/>
        </w:rPr>
      </w:pPr>
      <w:r w:rsidRPr="00FA5169">
        <w:rPr>
          <w:rFonts w:asciiTheme="majorHAnsi" w:hAnsiTheme="majorHAnsi"/>
          <w:b/>
          <w:u w:val="single"/>
        </w:rPr>
        <w:t>Growth Rate : Scenario -3</w:t>
      </w:r>
    </w:p>
    <w:tbl>
      <w:tblPr>
        <w:tblStyle w:val="TableGrid"/>
        <w:tblpPr w:leftFromText="180" w:rightFromText="180" w:vertAnchor="page" w:horzAnchor="margin" w:tblpXSpec="center" w:tblpY="2756"/>
        <w:tblW w:w="0" w:type="auto"/>
        <w:tblLook w:val="04A0"/>
      </w:tblPr>
      <w:tblGrid>
        <w:gridCol w:w="3467"/>
        <w:gridCol w:w="3467"/>
      </w:tblGrid>
      <w:tr w:rsidR="00524C24" w:rsidRPr="00EC6CB6" w:rsidTr="00524C24">
        <w:trPr>
          <w:trHeight w:val="143"/>
        </w:trPr>
        <w:tc>
          <w:tcPr>
            <w:tcW w:w="3467" w:type="dxa"/>
          </w:tcPr>
          <w:p w:rsidR="00524C24" w:rsidRPr="00EC6CB6" w:rsidRDefault="00524C24" w:rsidP="00524C24">
            <w:pPr>
              <w:tabs>
                <w:tab w:val="left" w:pos="2880"/>
              </w:tabs>
              <w:rPr>
                <w:rFonts w:asciiTheme="majorHAnsi" w:hAnsiTheme="majorHAnsi"/>
              </w:rPr>
            </w:pPr>
            <w:r w:rsidRPr="00EC6CB6">
              <w:rPr>
                <w:rFonts w:asciiTheme="majorHAnsi" w:hAnsiTheme="majorHAnsi"/>
              </w:rPr>
              <w:t>Particulars</w:t>
            </w:r>
          </w:p>
        </w:tc>
        <w:tc>
          <w:tcPr>
            <w:tcW w:w="3467" w:type="dxa"/>
          </w:tcPr>
          <w:p w:rsidR="00524C24" w:rsidRPr="00EC6CB6" w:rsidRDefault="00524C24" w:rsidP="00524C24">
            <w:pPr>
              <w:tabs>
                <w:tab w:val="left" w:pos="2880"/>
              </w:tabs>
              <w:rPr>
                <w:rFonts w:asciiTheme="majorHAnsi" w:hAnsiTheme="majorHAnsi"/>
              </w:rPr>
            </w:pPr>
            <w:r w:rsidRPr="00EC6CB6">
              <w:rPr>
                <w:rFonts w:asciiTheme="majorHAnsi" w:hAnsiTheme="majorHAnsi"/>
              </w:rPr>
              <w:t>Growth Rate</w:t>
            </w:r>
          </w:p>
        </w:tc>
      </w:tr>
      <w:tr w:rsidR="00524C24" w:rsidRPr="00EC6CB6" w:rsidTr="00524C24">
        <w:trPr>
          <w:trHeight w:val="150"/>
        </w:trPr>
        <w:tc>
          <w:tcPr>
            <w:tcW w:w="3467" w:type="dxa"/>
          </w:tcPr>
          <w:p w:rsidR="00524C24" w:rsidRPr="00EC6CB6" w:rsidRDefault="00524C24" w:rsidP="00524C24">
            <w:pPr>
              <w:tabs>
                <w:tab w:val="left" w:pos="2880"/>
              </w:tabs>
              <w:rPr>
                <w:rFonts w:asciiTheme="majorHAnsi" w:hAnsiTheme="majorHAnsi"/>
              </w:rPr>
            </w:pPr>
            <w:r w:rsidRPr="00EC6CB6">
              <w:rPr>
                <w:rFonts w:asciiTheme="majorHAnsi" w:hAnsiTheme="majorHAnsi"/>
              </w:rPr>
              <w:t>Average Growth Rate of Sales</w:t>
            </w:r>
          </w:p>
        </w:tc>
        <w:tc>
          <w:tcPr>
            <w:tcW w:w="3467" w:type="dxa"/>
          </w:tcPr>
          <w:p w:rsidR="00524C24" w:rsidRPr="00EC6CB6" w:rsidRDefault="00524C24" w:rsidP="00524C24">
            <w:pPr>
              <w:tabs>
                <w:tab w:val="left" w:pos="2880"/>
              </w:tabs>
              <w:rPr>
                <w:rFonts w:asciiTheme="majorHAnsi" w:hAnsiTheme="majorHAnsi"/>
              </w:rPr>
            </w:pPr>
            <w:r w:rsidRPr="00EC6CB6">
              <w:rPr>
                <w:rFonts w:asciiTheme="majorHAnsi" w:hAnsiTheme="majorHAnsi" w:cs="Arial"/>
              </w:rPr>
              <w:t>7.42</w:t>
            </w:r>
          </w:p>
        </w:tc>
      </w:tr>
      <w:tr w:rsidR="00524C24" w:rsidRPr="00EC6CB6" w:rsidTr="00524C24">
        <w:trPr>
          <w:trHeight w:val="135"/>
        </w:trPr>
        <w:tc>
          <w:tcPr>
            <w:tcW w:w="3467" w:type="dxa"/>
          </w:tcPr>
          <w:p w:rsidR="00524C24" w:rsidRPr="00EC6CB6" w:rsidRDefault="00524C24" w:rsidP="00524C24">
            <w:pPr>
              <w:tabs>
                <w:tab w:val="left" w:pos="2880"/>
              </w:tabs>
              <w:rPr>
                <w:rFonts w:asciiTheme="majorHAnsi" w:hAnsiTheme="majorHAnsi"/>
              </w:rPr>
            </w:pPr>
            <w:r w:rsidRPr="00EC6CB6">
              <w:rPr>
                <w:rFonts w:asciiTheme="majorHAnsi" w:hAnsiTheme="majorHAnsi" w:cs="Arial"/>
              </w:rPr>
              <w:t>Average of GDP</w:t>
            </w:r>
          </w:p>
        </w:tc>
        <w:tc>
          <w:tcPr>
            <w:tcW w:w="3467" w:type="dxa"/>
          </w:tcPr>
          <w:p w:rsidR="00524C24" w:rsidRPr="00EC6CB6" w:rsidRDefault="00524C24" w:rsidP="00524C24">
            <w:pPr>
              <w:tabs>
                <w:tab w:val="left" w:pos="2880"/>
              </w:tabs>
              <w:rPr>
                <w:rFonts w:asciiTheme="majorHAnsi" w:hAnsiTheme="majorHAnsi"/>
              </w:rPr>
            </w:pPr>
            <w:r w:rsidRPr="00EC6CB6">
              <w:rPr>
                <w:rFonts w:asciiTheme="majorHAnsi" w:hAnsiTheme="majorHAnsi" w:cs="Arial"/>
              </w:rPr>
              <w:t>6.2%</w:t>
            </w:r>
          </w:p>
        </w:tc>
      </w:tr>
      <w:tr w:rsidR="00524C24" w:rsidRPr="00EC6CB6" w:rsidTr="00524C24">
        <w:trPr>
          <w:trHeight w:val="293"/>
        </w:trPr>
        <w:tc>
          <w:tcPr>
            <w:tcW w:w="3467" w:type="dxa"/>
          </w:tcPr>
          <w:p w:rsidR="00524C24" w:rsidRPr="00EC6CB6" w:rsidRDefault="00524C24" w:rsidP="00524C24">
            <w:pPr>
              <w:tabs>
                <w:tab w:val="left" w:pos="2880"/>
              </w:tabs>
              <w:rPr>
                <w:rFonts w:asciiTheme="majorHAnsi" w:hAnsiTheme="majorHAnsi" w:cs="Arial"/>
              </w:rPr>
            </w:pPr>
            <w:r w:rsidRPr="00EC6CB6">
              <w:rPr>
                <w:rFonts w:asciiTheme="majorHAnsi" w:hAnsiTheme="majorHAnsi" w:cs="Arial"/>
              </w:rPr>
              <w:t>Average of GDP and Average Sales Growth Rate</w:t>
            </w:r>
          </w:p>
          <w:p w:rsidR="00524C24" w:rsidRPr="00EC6CB6" w:rsidRDefault="00524C24" w:rsidP="00524C24">
            <w:pPr>
              <w:tabs>
                <w:tab w:val="left" w:pos="2880"/>
              </w:tabs>
              <w:rPr>
                <w:rFonts w:asciiTheme="majorHAnsi" w:hAnsiTheme="majorHAnsi"/>
              </w:rPr>
            </w:pPr>
          </w:p>
        </w:tc>
        <w:tc>
          <w:tcPr>
            <w:tcW w:w="3467" w:type="dxa"/>
          </w:tcPr>
          <w:p w:rsidR="00524C24" w:rsidRPr="00EC6CB6" w:rsidRDefault="00524C24" w:rsidP="00524C24">
            <w:pPr>
              <w:tabs>
                <w:tab w:val="left" w:pos="2880"/>
              </w:tabs>
              <w:rPr>
                <w:rFonts w:asciiTheme="majorHAnsi" w:hAnsiTheme="majorHAnsi" w:cs="Arial"/>
                <w:b/>
                <w:bCs/>
              </w:rPr>
            </w:pPr>
            <w:r w:rsidRPr="00EC6CB6">
              <w:rPr>
                <w:rFonts w:asciiTheme="majorHAnsi" w:hAnsiTheme="majorHAnsi" w:cs="Arial"/>
                <w:b/>
                <w:bCs/>
              </w:rPr>
              <w:t>6.82</w:t>
            </w:r>
          </w:p>
          <w:p w:rsidR="00524C24" w:rsidRPr="00EC6CB6" w:rsidRDefault="00524C24" w:rsidP="00524C24">
            <w:pPr>
              <w:tabs>
                <w:tab w:val="left" w:pos="2880"/>
              </w:tabs>
              <w:rPr>
                <w:rFonts w:asciiTheme="majorHAnsi" w:hAnsiTheme="majorHAnsi"/>
              </w:rPr>
            </w:pPr>
          </w:p>
        </w:tc>
      </w:tr>
    </w:tbl>
    <w:p w:rsidR="002C3898" w:rsidRDefault="002C3898" w:rsidP="002C3898">
      <w:pPr>
        <w:tabs>
          <w:tab w:val="left" w:pos="2880"/>
        </w:tabs>
        <w:jc w:val="both"/>
        <w:rPr>
          <w:rFonts w:asciiTheme="majorHAnsi" w:hAnsiTheme="majorHAnsi"/>
          <w:b/>
        </w:rPr>
      </w:pPr>
    </w:p>
    <w:p w:rsidR="002C3898" w:rsidRDefault="002C3898" w:rsidP="002C3898">
      <w:pPr>
        <w:tabs>
          <w:tab w:val="left" w:pos="2880"/>
        </w:tabs>
        <w:jc w:val="both"/>
        <w:rPr>
          <w:rFonts w:asciiTheme="majorHAnsi" w:hAnsiTheme="majorHAnsi"/>
          <w:b/>
        </w:rPr>
      </w:pPr>
    </w:p>
    <w:p w:rsidR="002C3898" w:rsidRDefault="002C3898" w:rsidP="002C3898">
      <w:pPr>
        <w:tabs>
          <w:tab w:val="left" w:pos="2880"/>
        </w:tabs>
        <w:ind w:left="-90"/>
        <w:jc w:val="both"/>
        <w:rPr>
          <w:rFonts w:asciiTheme="majorHAnsi" w:hAnsiTheme="majorHAnsi"/>
          <w:b/>
        </w:rPr>
      </w:pPr>
    </w:p>
    <w:p w:rsidR="002C3898" w:rsidRDefault="002C3898" w:rsidP="002C3898">
      <w:pPr>
        <w:tabs>
          <w:tab w:val="left" w:pos="2880"/>
        </w:tabs>
        <w:jc w:val="both"/>
        <w:rPr>
          <w:rFonts w:asciiTheme="majorHAnsi" w:hAnsiTheme="majorHAnsi"/>
          <w:b/>
        </w:rPr>
      </w:pPr>
    </w:p>
    <w:p w:rsidR="002C3898" w:rsidRPr="00B8038A" w:rsidRDefault="002C3898" w:rsidP="002C3898">
      <w:pPr>
        <w:tabs>
          <w:tab w:val="left" w:pos="2880"/>
        </w:tabs>
        <w:jc w:val="both"/>
        <w:rPr>
          <w:rFonts w:asciiTheme="majorHAnsi" w:hAnsiTheme="majorHAnsi"/>
          <w:b/>
        </w:rPr>
      </w:pPr>
    </w:p>
    <w:p w:rsidR="002C3898" w:rsidRPr="00EC6CB6" w:rsidRDefault="002C3898" w:rsidP="002C3898">
      <w:pPr>
        <w:tabs>
          <w:tab w:val="left" w:pos="2880"/>
        </w:tabs>
        <w:rPr>
          <w:rFonts w:asciiTheme="majorHAnsi" w:hAnsiTheme="majorHAnsi"/>
        </w:rPr>
      </w:pPr>
    </w:p>
    <w:tbl>
      <w:tblPr>
        <w:tblpPr w:leftFromText="180" w:rightFromText="180" w:vertAnchor="text" w:horzAnchor="margin" w:tblpYSpec="center"/>
        <w:tblW w:w="0" w:type="auto"/>
        <w:tblLook w:val="04A0"/>
      </w:tblPr>
      <w:tblGrid>
        <w:gridCol w:w="2271"/>
        <w:gridCol w:w="1079"/>
        <w:gridCol w:w="1464"/>
        <w:gridCol w:w="1079"/>
        <w:gridCol w:w="1079"/>
        <w:gridCol w:w="1079"/>
        <w:gridCol w:w="1079"/>
      </w:tblGrid>
      <w:tr w:rsidR="002C3898" w:rsidRPr="00B8038A" w:rsidTr="00FA5169">
        <w:trPr>
          <w:trHeight w:val="300"/>
        </w:trPr>
        <w:tc>
          <w:tcPr>
            <w:tcW w:w="0" w:type="auto"/>
            <w:tcBorders>
              <w:top w:val="nil"/>
              <w:left w:val="nil"/>
              <w:bottom w:val="nil"/>
              <w:right w:val="nil"/>
            </w:tcBorders>
            <w:shd w:val="clear" w:color="auto" w:fill="auto"/>
            <w:noWrap/>
            <w:vAlign w:val="bottom"/>
            <w:hideMark/>
          </w:tcPr>
          <w:p w:rsidR="002C3898" w:rsidRPr="00E03D2C" w:rsidRDefault="002C3898" w:rsidP="00FA5169">
            <w:pPr>
              <w:tabs>
                <w:tab w:val="left" w:pos="2880"/>
              </w:tabs>
              <w:rPr>
                <w:rFonts w:asciiTheme="majorHAnsi" w:hAnsiTheme="majorHAnsi" w:cs="Arial"/>
                <w:b/>
                <w:sz w:val="16"/>
                <w:szCs w:val="16"/>
              </w:rPr>
            </w:pPr>
            <w:r w:rsidRPr="00E03D2C">
              <w:rPr>
                <w:rFonts w:asciiTheme="majorHAnsi" w:hAnsiTheme="majorHAnsi" w:cs="Arial"/>
                <w:b/>
                <w:sz w:val="16"/>
                <w:szCs w:val="16"/>
              </w:rPr>
              <w:t>Average Growth Rate : 6.8%</w:t>
            </w:r>
          </w:p>
        </w:tc>
        <w:tc>
          <w:tcPr>
            <w:tcW w:w="0" w:type="auto"/>
            <w:tcBorders>
              <w:top w:val="nil"/>
              <w:left w:val="nil"/>
              <w:bottom w:val="nil"/>
              <w:right w:val="nil"/>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p>
        </w:tc>
        <w:tc>
          <w:tcPr>
            <w:tcW w:w="0" w:type="auto"/>
            <w:tcBorders>
              <w:top w:val="nil"/>
              <w:left w:val="nil"/>
              <w:bottom w:val="nil"/>
              <w:right w:val="nil"/>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p>
        </w:tc>
        <w:tc>
          <w:tcPr>
            <w:tcW w:w="0" w:type="auto"/>
            <w:tcBorders>
              <w:top w:val="nil"/>
              <w:left w:val="nil"/>
              <w:bottom w:val="nil"/>
              <w:right w:val="nil"/>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p>
        </w:tc>
        <w:tc>
          <w:tcPr>
            <w:tcW w:w="0" w:type="auto"/>
            <w:tcBorders>
              <w:top w:val="nil"/>
              <w:left w:val="nil"/>
              <w:bottom w:val="nil"/>
              <w:right w:val="nil"/>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p>
        </w:tc>
        <w:tc>
          <w:tcPr>
            <w:tcW w:w="0" w:type="auto"/>
            <w:tcBorders>
              <w:top w:val="nil"/>
              <w:left w:val="nil"/>
              <w:bottom w:val="nil"/>
              <w:right w:val="nil"/>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p>
        </w:tc>
        <w:tc>
          <w:tcPr>
            <w:tcW w:w="0" w:type="auto"/>
            <w:tcBorders>
              <w:top w:val="nil"/>
              <w:left w:val="nil"/>
              <w:bottom w:val="nil"/>
              <w:right w:val="nil"/>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p>
        </w:tc>
      </w:tr>
      <w:tr w:rsidR="002C3898" w:rsidRPr="00B8038A" w:rsidTr="00FA516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Current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5 Years Projection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 </w:t>
            </w:r>
          </w:p>
        </w:tc>
      </w:tr>
      <w:tr w:rsidR="002C3898" w:rsidRPr="00B8038A" w:rsidTr="00FA51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Year</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2,013</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2,014</w:t>
            </w:r>
          </w:p>
        </w:tc>
      </w:tr>
      <w:tr w:rsidR="002C3898" w:rsidRPr="00B8038A" w:rsidTr="00FA51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Growth Rate</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6.80</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6.80</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6.80</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6.80</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6.80</w:t>
            </w:r>
          </w:p>
        </w:tc>
      </w:tr>
      <w:tr w:rsidR="002C3898" w:rsidRPr="00B8038A" w:rsidTr="00FA51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Sales</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104,409,785</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111,509,650</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119,092,307</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127,190,583</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135,839,543</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145,076,632</w:t>
            </w:r>
          </w:p>
        </w:tc>
      </w:tr>
      <w:tr w:rsidR="002C3898" w:rsidRPr="00B8038A" w:rsidTr="00FA51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Net Income</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1,531,625</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1,635,776</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1,747,008</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1,865,805</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1,992,680</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2,128,182</w:t>
            </w:r>
          </w:p>
        </w:tc>
      </w:tr>
      <w:tr w:rsidR="002C3898" w:rsidRPr="00B8038A" w:rsidTr="00FA51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Dividend</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1,350,000</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1,350,000</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1,350,000</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1,350,000</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1,350,000</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1,350,000</w:t>
            </w:r>
          </w:p>
        </w:tc>
      </w:tr>
      <w:tr w:rsidR="002C3898" w:rsidRPr="00B8038A" w:rsidTr="00FA51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Addition to retained Earnings</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1,396,625</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1,491,596</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1,593,024</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1,701,350</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1,817,041</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1,940,600</w:t>
            </w:r>
          </w:p>
        </w:tc>
      </w:tr>
      <w:tr w:rsidR="002C3898" w:rsidRPr="00B8038A" w:rsidTr="00FA51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Total Assets</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83,483,416</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89,160,288</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95,223,188</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101,698,365</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108,613,853</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115,999,596</w:t>
            </w:r>
          </w:p>
        </w:tc>
      </w:tr>
      <w:tr w:rsidR="002C3898" w:rsidRPr="00B8038A" w:rsidTr="00FA51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Total Debt</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68,651,235</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73,319,519</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78,305,246</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83,630,003</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89,316,843</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95,390,389</w:t>
            </w:r>
          </w:p>
        </w:tc>
      </w:tr>
      <w:tr w:rsidR="002C3898" w:rsidRPr="00B8038A" w:rsidTr="00FA5169">
        <w:trPr>
          <w:trHeight w:val="300"/>
        </w:trPr>
        <w:tc>
          <w:tcPr>
            <w:tcW w:w="0" w:type="auto"/>
            <w:tcBorders>
              <w:top w:val="nil"/>
              <w:left w:val="single" w:sz="4" w:space="0" w:color="auto"/>
              <w:bottom w:val="single" w:sz="4" w:space="0" w:color="auto"/>
              <w:right w:val="single" w:sz="4" w:space="0" w:color="auto"/>
            </w:tcBorders>
            <w:shd w:val="clear" w:color="000000" w:fill="C2D69A"/>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Common Stock</w:t>
            </w:r>
          </w:p>
        </w:tc>
        <w:tc>
          <w:tcPr>
            <w:tcW w:w="0" w:type="auto"/>
            <w:tcBorders>
              <w:top w:val="nil"/>
              <w:left w:val="nil"/>
              <w:bottom w:val="single" w:sz="4" w:space="0" w:color="auto"/>
              <w:right w:val="single" w:sz="4" w:space="0" w:color="auto"/>
            </w:tcBorders>
            <w:shd w:val="clear" w:color="000000" w:fill="C2D69A"/>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9,000,000</w:t>
            </w:r>
          </w:p>
        </w:tc>
        <w:tc>
          <w:tcPr>
            <w:tcW w:w="0" w:type="auto"/>
            <w:tcBorders>
              <w:top w:val="nil"/>
              <w:left w:val="nil"/>
              <w:bottom w:val="single" w:sz="4" w:space="0" w:color="auto"/>
              <w:right w:val="single" w:sz="4" w:space="0" w:color="auto"/>
            </w:tcBorders>
            <w:shd w:val="clear" w:color="000000" w:fill="C2D69A"/>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9,000,000</w:t>
            </w:r>
          </w:p>
        </w:tc>
        <w:tc>
          <w:tcPr>
            <w:tcW w:w="0" w:type="auto"/>
            <w:tcBorders>
              <w:top w:val="nil"/>
              <w:left w:val="nil"/>
              <w:bottom w:val="single" w:sz="4" w:space="0" w:color="auto"/>
              <w:right w:val="single" w:sz="4" w:space="0" w:color="auto"/>
            </w:tcBorders>
            <w:shd w:val="clear" w:color="000000" w:fill="C2D69A"/>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9,000,000</w:t>
            </w:r>
          </w:p>
        </w:tc>
        <w:tc>
          <w:tcPr>
            <w:tcW w:w="0" w:type="auto"/>
            <w:tcBorders>
              <w:top w:val="nil"/>
              <w:left w:val="nil"/>
              <w:bottom w:val="single" w:sz="4" w:space="0" w:color="auto"/>
              <w:right w:val="single" w:sz="4" w:space="0" w:color="auto"/>
            </w:tcBorders>
            <w:shd w:val="clear" w:color="000000" w:fill="C2D69A"/>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9,000,000</w:t>
            </w:r>
          </w:p>
        </w:tc>
        <w:tc>
          <w:tcPr>
            <w:tcW w:w="0" w:type="auto"/>
            <w:tcBorders>
              <w:top w:val="nil"/>
              <w:left w:val="nil"/>
              <w:bottom w:val="single" w:sz="4" w:space="0" w:color="auto"/>
              <w:right w:val="single" w:sz="4" w:space="0" w:color="auto"/>
            </w:tcBorders>
            <w:shd w:val="clear" w:color="000000" w:fill="C2D69A"/>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9,000,000</w:t>
            </w:r>
          </w:p>
        </w:tc>
        <w:tc>
          <w:tcPr>
            <w:tcW w:w="0" w:type="auto"/>
            <w:tcBorders>
              <w:top w:val="nil"/>
              <w:left w:val="nil"/>
              <w:bottom w:val="single" w:sz="4" w:space="0" w:color="auto"/>
              <w:right w:val="single" w:sz="4" w:space="0" w:color="auto"/>
            </w:tcBorders>
            <w:shd w:val="clear" w:color="000000" w:fill="C2D69A"/>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9,000,000</w:t>
            </w:r>
          </w:p>
        </w:tc>
      </w:tr>
      <w:tr w:rsidR="002C3898" w:rsidRPr="00B8038A" w:rsidTr="00FA51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Retained Earnings</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5,832,181</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7,323,777</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8,916,800</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10,618,150</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12,435,192</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14,375,792</w:t>
            </w:r>
          </w:p>
        </w:tc>
      </w:tr>
      <w:tr w:rsidR="002C3898" w:rsidRPr="00B8038A" w:rsidTr="00FA51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Total Financing</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83,483,416</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89,643,295</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96,222,047</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103,248,153</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110,752,035</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118,766,180</w:t>
            </w:r>
          </w:p>
        </w:tc>
      </w:tr>
      <w:tr w:rsidR="002C3898" w:rsidRPr="00B8038A" w:rsidTr="00FA51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Fund Needed</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-483,007</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-998,859</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-1,549,788</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-2,138,181</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-2,766,585</w:t>
            </w:r>
          </w:p>
        </w:tc>
      </w:tr>
      <w:tr w:rsidR="002C3898" w:rsidRPr="00B8038A" w:rsidTr="00FA5169">
        <w:trPr>
          <w:trHeight w:val="300"/>
        </w:trPr>
        <w:tc>
          <w:tcPr>
            <w:tcW w:w="0" w:type="auto"/>
            <w:tcBorders>
              <w:top w:val="nil"/>
              <w:left w:val="single" w:sz="4" w:space="0" w:color="auto"/>
              <w:bottom w:val="single" w:sz="4" w:space="0" w:color="auto"/>
              <w:right w:val="single" w:sz="4" w:space="0" w:color="auto"/>
            </w:tcBorders>
            <w:shd w:val="clear" w:color="000000" w:fill="C2D69A"/>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Sustainable Growth Rate</w:t>
            </w:r>
          </w:p>
        </w:tc>
        <w:tc>
          <w:tcPr>
            <w:tcW w:w="0" w:type="auto"/>
            <w:tcBorders>
              <w:top w:val="nil"/>
              <w:left w:val="nil"/>
              <w:bottom w:val="single" w:sz="4" w:space="0" w:color="auto"/>
              <w:right w:val="single" w:sz="4" w:space="0" w:color="auto"/>
            </w:tcBorders>
            <w:shd w:val="clear" w:color="000000" w:fill="C2D69A"/>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0.012400</w:t>
            </w:r>
          </w:p>
        </w:tc>
        <w:tc>
          <w:tcPr>
            <w:tcW w:w="0" w:type="auto"/>
            <w:tcBorders>
              <w:top w:val="nil"/>
              <w:left w:val="nil"/>
              <w:bottom w:val="single" w:sz="4" w:space="0" w:color="auto"/>
              <w:right w:val="single" w:sz="4" w:space="0" w:color="auto"/>
            </w:tcBorders>
            <w:shd w:val="clear" w:color="000000" w:fill="C2D69A"/>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0.012400</w:t>
            </w:r>
          </w:p>
        </w:tc>
        <w:tc>
          <w:tcPr>
            <w:tcW w:w="0" w:type="auto"/>
            <w:tcBorders>
              <w:top w:val="nil"/>
              <w:left w:val="nil"/>
              <w:bottom w:val="single" w:sz="4" w:space="0" w:color="auto"/>
              <w:right w:val="single" w:sz="4" w:space="0" w:color="auto"/>
            </w:tcBorders>
            <w:shd w:val="clear" w:color="000000" w:fill="C2D69A"/>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0.012400</w:t>
            </w:r>
          </w:p>
        </w:tc>
        <w:tc>
          <w:tcPr>
            <w:tcW w:w="0" w:type="auto"/>
            <w:tcBorders>
              <w:top w:val="nil"/>
              <w:left w:val="nil"/>
              <w:bottom w:val="single" w:sz="4" w:space="0" w:color="auto"/>
              <w:right w:val="single" w:sz="4" w:space="0" w:color="auto"/>
            </w:tcBorders>
            <w:shd w:val="clear" w:color="000000" w:fill="C2D69A"/>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0.012400</w:t>
            </w:r>
          </w:p>
        </w:tc>
        <w:tc>
          <w:tcPr>
            <w:tcW w:w="0" w:type="auto"/>
            <w:tcBorders>
              <w:top w:val="nil"/>
              <w:left w:val="nil"/>
              <w:bottom w:val="single" w:sz="4" w:space="0" w:color="auto"/>
              <w:right w:val="single" w:sz="4" w:space="0" w:color="auto"/>
            </w:tcBorders>
            <w:shd w:val="clear" w:color="000000" w:fill="C2D69A"/>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0.012400</w:t>
            </w:r>
          </w:p>
        </w:tc>
        <w:tc>
          <w:tcPr>
            <w:tcW w:w="0" w:type="auto"/>
            <w:tcBorders>
              <w:top w:val="nil"/>
              <w:left w:val="nil"/>
              <w:bottom w:val="single" w:sz="4" w:space="0" w:color="auto"/>
              <w:right w:val="single" w:sz="4" w:space="0" w:color="auto"/>
            </w:tcBorders>
            <w:shd w:val="clear" w:color="000000" w:fill="C2D69A"/>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0.012400</w:t>
            </w:r>
          </w:p>
        </w:tc>
      </w:tr>
      <w:tr w:rsidR="002C3898" w:rsidRPr="00B8038A" w:rsidTr="00FA51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EPS</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17.0181</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18.1753</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19.4112</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20.7312</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22.1409</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23.6465</w:t>
            </w:r>
          </w:p>
        </w:tc>
      </w:tr>
      <w:tr w:rsidR="002C3898" w:rsidRPr="00B8038A" w:rsidTr="00FA5169">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Price</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rPr>
                <w:rFonts w:asciiTheme="majorHAnsi" w:hAnsiTheme="majorHAnsi" w:cs="Arial"/>
                <w:sz w:val="16"/>
                <w:szCs w:val="16"/>
              </w:rPr>
            </w:pPr>
            <w:r w:rsidRPr="00B8038A">
              <w:rPr>
                <w:rFonts w:asciiTheme="majorHAnsi" w:hAnsiTheme="majorHAnsi" w:cs="Arial"/>
                <w:sz w:val="16"/>
                <w:szCs w:val="16"/>
              </w:rPr>
              <w:t xml:space="preserve">      1,669.75 </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1,783</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1,905</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2,034</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2,172</w:t>
            </w:r>
          </w:p>
        </w:tc>
        <w:tc>
          <w:tcPr>
            <w:tcW w:w="0" w:type="auto"/>
            <w:tcBorders>
              <w:top w:val="nil"/>
              <w:left w:val="nil"/>
              <w:bottom w:val="single" w:sz="4" w:space="0" w:color="auto"/>
              <w:right w:val="single" w:sz="4" w:space="0" w:color="auto"/>
            </w:tcBorders>
            <w:shd w:val="clear" w:color="auto" w:fill="auto"/>
            <w:noWrap/>
            <w:vAlign w:val="bottom"/>
            <w:hideMark/>
          </w:tcPr>
          <w:p w:rsidR="002C3898" w:rsidRPr="00B8038A" w:rsidRDefault="002C3898" w:rsidP="00FA5169">
            <w:pPr>
              <w:tabs>
                <w:tab w:val="left" w:pos="2880"/>
              </w:tabs>
              <w:jc w:val="right"/>
              <w:rPr>
                <w:rFonts w:asciiTheme="majorHAnsi" w:hAnsiTheme="majorHAnsi" w:cs="Arial"/>
                <w:sz w:val="16"/>
                <w:szCs w:val="16"/>
              </w:rPr>
            </w:pPr>
            <w:r w:rsidRPr="00B8038A">
              <w:rPr>
                <w:rFonts w:asciiTheme="majorHAnsi" w:hAnsiTheme="majorHAnsi" w:cs="Arial"/>
                <w:sz w:val="16"/>
                <w:szCs w:val="16"/>
              </w:rPr>
              <w:t>2,320</w:t>
            </w:r>
          </w:p>
        </w:tc>
      </w:tr>
    </w:tbl>
    <w:p w:rsidR="002C3898" w:rsidRPr="00EC6CB6" w:rsidRDefault="002C3898" w:rsidP="002C3898">
      <w:pPr>
        <w:tabs>
          <w:tab w:val="left" w:pos="2880"/>
        </w:tabs>
        <w:rPr>
          <w:rFonts w:asciiTheme="majorHAnsi" w:hAnsiTheme="majorHAnsi"/>
        </w:rPr>
      </w:pPr>
      <w:r>
        <w:rPr>
          <w:rFonts w:asciiTheme="majorHAnsi" w:hAnsiTheme="majorHAnsi"/>
        </w:rPr>
        <w:t>Now we can construct a table that shows us different prices of stock price for 5 years past data</w:t>
      </w:r>
      <w:r w:rsidRPr="009E702E">
        <w:rPr>
          <w:rFonts w:asciiTheme="majorHAnsi" w:hAnsiTheme="majorHAnsi"/>
        </w:rPr>
        <w:t xml:space="preserve"> </w:t>
      </w:r>
      <w:r>
        <w:rPr>
          <w:rFonts w:asciiTheme="majorHAnsi" w:hAnsiTheme="majorHAnsi"/>
        </w:rPr>
        <w:t>and five years</w:t>
      </w:r>
      <w:r w:rsidRPr="009E702E">
        <w:rPr>
          <w:rFonts w:asciiTheme="majorHAnsi" w:hAnsiTheme="majorHAnsi"/>
        </w:rPr>
        <w:t xml:space="preserve"> </w:t>
      </w:r>
      <w:r>
        <w:rPr>
          <w:rFonts w:asciiTheme="majorHAnsi" w:hAnsiTheme="majorHAnsi"/>
        </w:rPr>
        <w:t>future projection that can help us to better understand the stock price movement of BANGAS.</w:t>
      </w:r>
    </w:p>
    <w:p w:rsidR="002C3898" w:rsidRDefault="002C3898" w:rsidP="002C3898">
      <w:pPr>
        <w:tabs>
          <w:tab w:val="left" w:pos="2880"/>
        </w:tabs>
        <w:rPr>
          <w:rFonts w:asciiTheme="majorHAnsi" w:hAnsiTheme="majorHAnsi"/>
          <w:sz w:val="16"/>
          <w:szCs w:val="16"/>
        </w:rPr>
      </w:pPr>
    </w:p>
    <w:p w:rsidR="002C3898" w:rsidRDefault="002C3898" w:rsidP="002C3898">
      <w:pPr>
        <w:tabs>
          <w:tab w:val="left" w:pos="2880"/>
        </w:tabs>
        <w:rPr>
          <w:rFonts w:asciiTheme="majorHAnsi" w:hAnsiTheme="majorHAnsi"/>
          <w:sz w:val="16"/>
          <w:szCs w:val="16"/>
        </w:rPr>
      </w:pPr>
    </w:p>
    <w:p w:rsidR="002C3898" w:rsidRPr="00B8038A" w:rsidRDefault="002C3898" w:rsidP="002C3898">
      <w:pPr>
        <w:tabs>
          <w:tab w:val="left" w:pos="2880"/>
        </w:tabs>
        <w:rPr>
          <w:rFonts w:asciiTheme="majorHAnsi" w:hAnsiTheme="majorHAnsi"/>
          <w:sz w:val="16"/>
          <w:szCs w:val="16"/>
        </w:rPr>
      </w:pPr>
    </w:p>
    <w:tbl>
      <w:tblPr>
        <w:tblStyle w:val="TableGrid"/>
        <w:tblW w:w="10188" w:type="dxa"/>
        <w:tblLayout w:type="fixed"/>
        <w:tblLook w:val="04A0"/>
      </w:tblPr>
      <w:tblGrid>
        <w:gridCol w:w="1188"/>
        <w:gridCol w:w="900"/>
        <w:gridCol w:w="900"/>
        <w:gridCol w:w="900"/>
        <w:gridCol w:w="810"/>
        <w:gridCol w:w="900"/>
        <w:gridCol w:w="900"/>
        <w:gridCol w:w="900"/>
        <w:gridCol w:w="900"/>
        <w:gridCol w:w="900"/>
        <w:gridCol w:w="990"/>
      </w:tblGrid>
      <w:tr w:rsidR="002C3898" w:rsidRPr="00D905B9" w:rsidTr="00FA5169">
        <w:trPr>
          <w:trHeight w:val="431"/>
        </w:trPr>
        <w:tc>
          <w:tcPr>
            <w:tcW w:w="1188" w:type="dxa"/>
            <w:noWrap/>
            <w:vAlign w:val="center"/>
            <w:hideMark/>
          </w:tcPr>
          <w:p w:rsidR="002C3898" w:rsidRPr="00D905B9" w:rsidRDefault="002C3898" w:rsidP="00FA5169">
            <w:pPr>
              <w:tabs>
                <w:tab w:val="left" w:pos="2880"/>
              </w:tabs>
              <w:jc w:val="center"/>
              <w:rPr>
                <w:rFonts w:asciiTheme="majorHAnsi" w:hAnsiTheme="majorHAnsi" w:cs="Arial"/>
                <w:b/>
                <w:sz w:val="16"/>
                <w:szCs w:val="16"/>
              </w:rPr>
            </w:pPr>
            <w:r>
              <w:rPr>
                <w:rFonts w:asciiTheme="majorHAnsi" w:hAnsiTheme="majorHAnsi" w:cs="Arial"/>
                <w:b/>
                <w:sz w:val="16"/>
                <w:szCs w:val="16"/>
              </w:rPr>
              <w:lastRenderedPageBreak/>
              <w:t>Particulars</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b/>
                <w:sz w:val="16"/>
                <w:szCs w:val="16"/>
              </w:rPr>
            </w:pPr>
            <w:r w:rsidRPr="00D905B9">
              <w:rPr>
                <w:rFonts w:asciiTheme="majorHAnsi" w:hAnsiTheme="majorHAnsi" w:cs="Arial"/>
                <w:b/>
                <w:sz w:val="16"/>
                <w:szCs w:val="16"/>
              </w:rPr>
              <w:t>2005</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b/>
                <w:sz w:val="16"/>
                <w:szCs w:val="16"/>
              </w:rPr>
            </w:pPr>
            <w:r w:rsidRPr="00D905B9">
              <w:rPr>
                <w:rFonts w:asciiTheme="majorHAnsi" w:hAnsiTheme="majorHAnsi" w:cs="Arial"/>
                <w:b/>
                <w:sz w:val="16"/>
                <w:szCs w:val="16"/>
              </w:rPr>
              <w:t>2006</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b/>
                <w:sz w:val="16"/>
                <w:szCs w:val="16"/>
              </w:rPr>
            </w:pPr>
            <w:r w:rsidRPr="00D905B9">
              <w:rPr>
                <w:rFonts w:asciiTheme="majorHAnsi" w:hAnsiTheme="majorHAnsi" w:cs="Arial"/>
                <w:b/>
                <w:sz w:val="16"/>
                <w:szCs w:val="16"/>
              </w:rPr>
              <w:t>2007</w:t>
            </w:r>
          </w:p>
        </w:tc>
        <w:tc>
          <w:tcPr>
            <w:tcW w:w="810" w:type="dxa"/>
            <w:noWrap/>
            <w:vAlign w:val="center"/>
            <w:hideMark/>
          </w:tcPr>
          <w:p w:rsidR="002C3898" w:rsidRPr="00D905B9" w:rsidRDefault="002C3898" w:rsidP="00FA5169">
            <w:pPr>
              <w:tabs>
                <w:tab w:val="left" w:pos="2880"/>
              </w:tabs>
              <w:jc w:val="center"/>
              <w:rPr>
                <w:rFonts w:asciiTheme="majorHAnsi" w:hAnsiTheme="majorHAnsi" w:cs="Arial"/>
                <w:b/>
                <w:sz w:val="16"/>
                <w:szCs w:val="16"/>
              </w:rPr>
            </w:pPr>
            <w:r w:rsidRPr="00D905B9">
              <w:rPr>
                <w:rFonts w:asciiTheme="majorHAnsi" w:hAnsiTheme="majorHAnsi" w:cs="Arial"/>
                <w:b/>
                <w:sz w:val="16"/>
                <w:szCs w:val="16"/>
              </w:rPr>
              <w:t>2008</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b/>
                <w:sz w:val="16"/>
                <w:szCs w:val="16"/>
              </w:rPr>
            </w:pPr>
            <w:r w:rsidRPr="00D905B9">
              <w:rPr>
                <w:rFonts w:asciiTheme="majorHAnsi" w:hAnsiTheme="majorHAnsi" w:cs="Arial"/>
                <w:b/>
                <w:sz w:val="16"/>
                <w:szCs w:val="16"/>
              </w:rPr>
              <w:t>2009</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b/>
                <w:sz w:val="16"/>
                <w:szCs w:val="16"/>
              </w:rPr>
            </w:pPr>
            <w:r w:rsidRPr="00D905B9">
              <w:rPr>
                <w:rFonts w:asciiTheme="majorHAnsi" w:hAnsiTheme="majorHAnsi" w:cs="Arial"/>
                <w:b/>
                <w:sz w:val="16"/>
                <w:szCs w:val="16"/>
              </w:rPr>
              <w:t>2010 Projected</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b/>
                <w:sz w:val="16"/>
                <w:szCs w:val="16"/>
              </w:rPr>
            </w:pPr>
            <w:r w:rsidRPr="00D905B9">
              <w:rPr>
                <w:rFonts w:asciiTheme="majorHAnsi" w:hAnsiTheme="majorHAnsi" w:cs="Arial"/>
                <w:b/>
                <w:sz w:val="16"/>
                <w:szCs w:val="16"/>
              </w:rPr>
              <w:t>2011 Projected</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b/>
                <w:sz w:val="16"/>
                <w:szCs w:val="16"/>
              </w:rPr>
            </w:pPr>
            <w:r w:rsidRPr="00D905B9">
              <w:rPr>
                <w:rFonts w:asciiTheme="majorHAnsi" w:hAnsiTheme="majorHAnsi" w:cs="Arial"/>
                <w:b/>
                <w:sz w:val="16"/>
                <w:szCs w:val="16"/>
              </w:rPr>
              <w:t>2012 Projected</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b/>
                <w:sz w:val="16"/>
                <w:szCs w:val="16"/>
              </w:rPr>
            </w:pPr>
            <w:r w:rsidRPr="00D905B9">
              <w:rPr>
                <w:rFonts w:asciiTheme="majorHAnsi" w:hAnsiTheme="majorHAnsi" w:cs="Arial"/>
                <w:b/>
                <w:sz w:val="16"/>
                <w:szCs w:val="16"/>
              </w:rPr>
              <w:t>2013 Projected</w:t>
            </w:r>
          </w:p>
        </w:tc>
        <w:tc>
          <w:tcPr>
            <w:tcW w:w="990" w:type="dxa"/>
            <w:noWrap/>
            <w:vAlign w:val="center"/>
            <w:hideMark/>
          </w:tcPr>
          <w:p w:rsidR="002C3898" w:rsidRPr="00D905B9" w:rsidRDefault="002C3898" w:rsidP="00FA5169">
            <w:pPr>
              <w:tabs>
                <w:tab w:val="left" w:pos="2880"/>
              </w:tabs>
              <w:jc w:val="center"/>
              <w:rPr>
                <w:rFonts w:asciiTheme="majorHAnsi" w:hAnsiTheme="majorHAnsi" w:cs="Arial"/>
                <w:b/>
                <w:sz w:val="16"/>
                <w:szCs w:val="16"/>
              </w:rPr>
            </w:pPr>
            <w:r w:rsidRPr="00D905B9">
              <w:rPr>
                <w:rFonts w:asciiTheme="majorHAnsi" w:hAnsiTheme="majorHAnsi" w:cs="Arial"/>
                <w:b/>
                <w:sz w:val="16"/>
                <w:szCs w:val="16"/>
              </w:rPr>
              <w:t>2014 Projected</w:t>
            </w:r>
          </w:p>
        </w:tc>
      </w:tr>
      <w:tr w:rsidR="002C3898" w:rsidRPr="00D905B9" w:rsidTr="00FA5169">
        <w:trPr>
          <w:trHeight w:val="557"/>
        </w:trPr>
        <w:tc>
          <w:tcPr>
            <w:tcW w:w="1188" w:type="dxa"/>
            <w:noWrap/>
            <w:vAlign w:val="center"/>
            <w:hideMark/>
          </w:tcPr>
          <w:p w:rsidR="002C3898" w:rsidRPr="00D905B9" w:rsidRDefault="002C3898" w:rsidP="00FA5169">
            <w:pPr>
              <w:tabs>
                <w:tab w:val="left" w:pos="2880"/>
              </w:tabs>
              <w:jc w:val="center"/>
              <w:rPr>
                <w:rFonts w:asciiTheme="majorHAnsi" w:hAnsiTheme="majorHAnsi" w:cs="Arial"/>
                <w:b/>
                <w:sz w:val="16"/>
                <w:szCs w:val="16"/>
              </w:rPr>
            </w:pPr>
            <w:r>
              <w:rPr>
                <w:rFonts w:asciiTheme="majorHAnsi" w:hAnsiTheme="majorHAnsi" w:cs="Arial"/>
                <w:b/>
                <w:sz w:val="16"/>
                <w:szCs w:val="16"/>
              </w:rPr>
              <w:t xml:space="preserve">Average Growth of </w:t>
            </w:r>
            <w:r w:rsidRPr="00D905B9">
              <w:rPr>
                <w:rFonts w:asciiTheme="majorHAnsi" w:hAnsiTheme="majorHAnsi" w:cs="Arial"/>
                <w:b/>
                <w:sz w:val="16"/>
                <w:szCs w:val="16"/>
              </w:rPr>
              <w:t>GDP (6.2%)</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326.00</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218.00</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227.50</w:t>
            </w:r>
          </w:p>
        </w:tc>
        <w:tc>
          <w:tcPr>
            <w:tcW w:w="81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486.00</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1669.75</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2653.94</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2818.48</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2993.23</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3178.81</w:t>
            </w:r>
          </w:p>
        </w:tc>
        <w:tc>
          <w:tcPr>
            <w:tcW w:w="99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3375.89</w:t>
            </w:r>
          </w:p>
        </w:tc>
      </w:tr>
      <w:tr w:rsidR="002C3898" w:rsidRPr="00D905B9" w:rsidTr="00FA5169">
        <w:trPr>
          <w:trHeight w:val="566"/>
        </w:trPr>
        <w:tc>
          <w:tcPr>
            <w:tcW w:w="1188" w:type="dxa"/>
            <w:noWrap/>
            <w:vAlign w:val="center"/>
            <w:hideMark/>
          </w:tcPr>
          <w:p w:rsidR="002C3898" w:rsidRPr="00D905B9" w:rsidRDefault="002C3898" w:rsidP="00FA5169">
            <w:pPr>
              <w:tabs>
                <w:tab w:val="left" w:pos="2880"/>
              </w:tabs>
              <w:rPr>
                <w:rFonts w:asciiTheme="majorHAnsi" w:hAnsiTheme="majorHAnsi" w:cs="Arial"/>
                <w:b/>
                <w:sz w:val="16"/>
                <w:szCs w:val="16"/>
              </w:rPr>
            </w:pPr>
            <w:r w:rsidRPr="00D905B9">
              <w:rPr>
                <w:rFonts w:asciiTheme="majorHAnsi" w:hAnsiTheme="majorHAnsi" w:cs="Arial"/>
                <w:b/>
                <w:sz w:val="16"/>
                <w:szCs w:val="16"/>
              </w:rPr>
              <w:t xml:space="preserve"> Sales Growth Rate (7.4%)</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326.00</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218.00</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227.50</w:t>
            </w:r>
          </w:p>
        </w:tc>
        <w:tc>
          <w:tcPr>
            <w:tcW w:w="81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486.00</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1669.75</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2683.93</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2882.54</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3095.84</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3324.94</w:t>
            </w:r>
          </w:p>
        </w:tc>
        <w:tc>
          <w:tcPr>
            <w:tcW w:w="99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3570.98</w:t>
            </w:r>
          </w:p>
        </w:tc>
      </w:tr>
      <w:tr w:rsidR="002C3898" w:rsidRPr="00D905B9" w:rsidTr="00FA5169">
        <w:trPr>
          <w:trHeight w:val="665"/>
        </w:trPr>
        <w:tc>
          <w:tcPr>
            <w:tcW w:w="1188" w:type="dxa"/>
            <w:noWrap/>
            <w:vAlign w:val="center"/>
            <w:hideMark/>
          </w:tcPr>
          <w:p w:rsidR="002C3898" w:rsidRPr="00D905B9" w:rsidRDefault="002C3898" w:rsidP="00FA5169">
            <w:pPr>
              <w:tabs>
                <w:tab w:val="left" w:pos="2880"/>
              </w:tabs>
              <w:jc w:val="center"/>
              <w:rPr>
                <w:rFonts w:asciiTheme="majorHAnsi" w:hAnsiTheme="majorHAnsi" w:cs="Arial"/>
                <w:b/>
                <w:sz w:val="16"/>
                <w:szCs w:val="16"/>
              </w:rPr>
            </w:pPr>
            <w:r w:rsidRPr="00D905B9">
              <w:rPr>
                <w:rFonts w:asciiTheme="majorHAnsi" w:hAnsiTheme="majorHAnsi" w:cs="Arial"/>
                <w:b/>
                <w:sz w:val="16"/>
                <w:szCs w:val="16"/>
              </w:rPr>
              <w:t>Average Growth Rate (6.8%)</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326.00</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218.00</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227.50</w:t>
            </w:r>
          </w:p>
        </w:tc>
        <w:tc>
          <w:tcPr>
            <w:tcW w:w="81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486.00</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1669.75</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2668.93</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2850.42</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3044.25</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3251.26</w:t>
            </w:r>
          </w:p>
        </w:tc>
        <w:tc>
          <w:tcPr>
            <w:tcW w:w="99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3472.34</w:t>
            </w:r>
          </w:p>
        </w:tc>
      </w:tr>
      <w:tr w:rsidR="002C3898" w:rsidRPr="00D905B9" w:rsidTr="00FA5169">
        <w:trPr>
          <w:trHeight w:val="584"/>
        </w:trPr>
        <w:tc>
          <w:tcPr>
            <w:tcW w:w="1188" w:type="dxa"/>
            <w:noWrap/>
            <w:vAlign w:val="center"/>
            <w:hideMark/>
          </w:tcPr>
          <w:p w:rsidR="002C3898" w:rsidRPr="00D905B9" w:rsidRDefault="002C3898" w:rsidP="00FA5169">
            <w:pPr>
              <w:tabs>
                <w:tab w:val="left" w:pos="2880"/>
              </w:tabs>
              <w:jc w:val="center"/>
              <w:rPr>
                <w:rFonts w:asciiTheme="majorHAnsi" w:hAnsiTheme="majorHAnsi" w:cs="Arial"/>
                <w:b/>
                <w:sz w:val="16"/>
                <w:szCs w:val="16"/>
              </w:rPr>
            </w:pPr>
            <w:r w:rsidRPr="00D905B9">
              <w:rPr>
                <w:rFonts w:asciiTheme="majorHAnsi" w:hAnsiTheme="majorHAnsi" w:cs="Arial"/>
                <w:b/>
                <w:sz w:val="16"/>
                <w:szCs w:val="16"/>
              </w:rPr>
              <w:t>Optimistic Growth Rate : 15%</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326.00</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218.00</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227.50</w:t>
            </w:r>
          </w:p>
        </w:tc>
        <w:tc>
          <w:tcPr>
            <w:tcW w:w="81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486.00</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1669.75</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2873.85</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3304.93</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3800.67</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4370.77</w:t>
            </w:r>
          </w:p>
        </w:tc>
        <w:tc>
          <w:tcPr>
            <w:tcW w:w="99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5026.38</w:t>
            </w:r>
          </w:p>
        </w:tc>
      </w:tr>
      <w:tr w:rsidR="002C3898" w:rsidRPr="00D905B9" w:rsidTr="00FA5169">
        <w:trPr>
          <w:trHeight w:val="683"/>
        </w:trPr>
        <w:tc>
          <w:tcPr>
            <w:tcW w:w="1188" w:type="dxa"/>
            <w:noWrap/>
            <w:vAlign w:val="center"/>
            <w:hideMark/>
          </w:tcPr>
          <w:p w:rsidR="002C3898" w:rsidRPr="00D905B9" w:rsidRDefault="002C3898" w:rsidP="00FA5169">
            <w:pPr>
              <w:tabs>
                <w:tab w:val="left" w:pos="2880"/>
              </w:tabs>
              <w:jc w:val="center"/>
              <w:rPr>
                <w:rFonts w:asciiTheme="majorHAnsi" w:hAnsiTheme="majorHAnsi" w:cs="Arial"/>
                <w:b/>
                <w:sz w:val="16"/>
                <w:szCs w:val="16"/>
              </w:rPr>
            </w:pPr>
            <w:r w:rsidRPr="00D905B9">
              <w:rPr>
                <w:rFonts w:asciiTheme="majorHAnsi" w:hAnsiTheme="majorHAnsi" w:cs="Arial"/>
                <w:b/>
                <w:sz w:val="16"/>
                <w:szCs w:val="16"/>
              </w:rPr>
              <w:t>Pessimistic Growth Rate : 3%</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326.00</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218.00</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227.50</w:t>
            </w:r>
          </w:p>
        </w:tc>
        <w:tc>
          <w:tcPr>
            <w:tcW w:w="81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486.00</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1669.75</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2573.97</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2651.19</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2730.72</w:t>
            </w:r>
          </w:p>
        </w:tc>
        <w:tc>
          <w:tcPr>
            <w:tcW w:w="90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2812.65</w:t>
            </w:r>
          </w:p>
        </w:tc>
        <w:tc>
          <w:tcPr>
            <w:tcW w:w="990" w:type="dxa"/>
            <w:noWrap/>
            <w:vAlign w:val="center"/>
            <w:hideMark/>
          </w:tcPr>
          <w:p w:rsidR="002C3898" w:rsidRPr="00D905B9" w:rsidRDefault="002C3898" w:rsidP="00FA5169">
            <w:pPr>
              <w:tabs>
                <w:tab w:val="left" w:pos="2880"/>
              </w:tabs>
              <w:jc w:val="center"/>
              <w:rPr>
                <w:rFonts w:asciiTheme="majorHAnsi" w:hAnsiTheme="majorHAnsi" w:cs="Arial"/>
                <w:sz w:val="16"/>
                <w:szCs w:val="16"/>
              </w:rPr>
            </w:pPr>
            <w:r w:rsidRPr="00D905B9">
              <w:rPr>
                <w:rFonts w:asciiTheme="majorHAnsi" w:hAnsiTheme="majorHAnsi" w:cs="Arial"/>
                <w:sz w:val="16"/>
                <w:szCs w:val="16"/>
              </w:rPr>
              <w:t>2897.03</w:t>
            </w:r>
          </w:p>
        </w:tc>
      </w:tr>
    </w:tbl>
    <w:p w:rsidR="002C3898" w:rsidRPr="00EC6CB6" w:rsidRDefault="002C3898" w:rsidP="002C3898">
      <w:pPr>
        <w:tabs>
          <w:tab w:val="left" w:pos="2880"/>
        </w:tabs>
        <w:rPr>
          <w:rFonts w:asciiTheme="majorHAnsi" w:hAnsiTheme="majorHAnsi"/>
        </w:rPr>
      </w:pPr>
    </w:p>
    <w:p w:rsidR="002C3898" w:rsidRPr="00EC6CB6" w:rsidRDefault="002C3898" w:rsidP="002C3898">
      <w:pPr>
        <w:tabs>
          <w:tab w:val="left" w:pos="2880"/>
        </w:tabs>
        <w:rPr>
          <w:rFonts w:asciiTheme="majorHAnsi" w:hAnsiTheme="majorHAnsi"/>
        </w:rPr>
      </w:pPr>
    </w:p>
    <w:p w:rsidR="002C3898" w:rsidRPr="00EC6CB6" w:rsidRDefault="002C3898" w:rsidP="002C3898">
      <w:pPr>
        <w:tabs>
          <w:tab w:val="left" w:pos="2880"/>
        </w:tabs>
        <w:rPr>
          <w:rFonts w:asciiTheme="majorHAnsi" w:hAnsiTheme="majorHAnsi"/>
        </w:rPr>
      </w:pPr>
    </w:p>
    <w:p w:rsidR="002C3898" w:rsidRPr="00EC6CB6" w:rsidRDefault="002C3898" w:rsidP="002C3898">
      <w:pPr>
        <w:tabs>
          <w:tab w:val="left" w:pos="2880"/>
        </w:tabs>
        <w:rPr>
          <w:rFonts w:asciiTheme="majorHAnsi" w:hAnsiTheme="majorHAnsi"/>
        </w:rPr>
      </w:pPr>
      <w:r w:rsidRPr="00D905B9">
        <w:rPr>
          <w:rFonts w:asciiTheme="majorHAnsi" w:hAnsiTheme="majorHAnsi"/>
          <w:noProof/>
          <w:bdr w:val="single" w:sz="4" w:space="0" w:color="auto"/>
          <w:lang w:bidi="bn-BD"/>
        </w:rPr>
        <w:drawing>
          <wp:inline distT="0" distB="0" distL="0" distR="0">
            <wp:extent cx="5486616" cy="2907102"/>
            <wp:effectExtent l="19050" t="0" r="18834" b="7548"/>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C3898" w:rsidRPr="00EC6CB6" w:rsidRDefault="002C3898" w:rsidP="002C3898">
      <w:pPr>
        <w:tabs>
          <w:tab w:val="left" w:pos="2880"/>
        </w:tabs>
        <w:rPr>
          <w:rFonts w:asciiTheme="majorHAnsi" w:hAnsiTheme="majorHAnsi"/>
        </w:rPr>
      </w:pPr>
    </w:p>
    <w:p w:rsidR="002C3898" w:rsidRPr="00D905B9" w:rsidRDefault="002C3898" w:rsidP="002C3898">
      <w:pPr>
        <w:tabs>
          <w:tab w:val="left" w:pos="2880"/>
        </w:tabs>
        <w:rPr>
          <w:rFonts w:asciiTheme="majorHAnsi" w:hAnsiTheme="majorHAnsi"/>
          <w:u w:val="single"/>
        </w:rPr>
      </w:pPr>
      <w:r w:rsidRPr="00D905B9">
        <w:rPr>
          <w:rFonts w:asciiTheme="majorHAnsi" w:hAnsiTheme="majorHAnsi"/>
          <w:u w:val="single"/>
        </w:rPr>
        <w:t>Figure: Future share projection with different growth rate</w:t>
      </w:r>
    </w:p>
    <w:p w:rsidR="002C3898" w:rsidRPr="00EC6CB6" w:rsidRDefault="002C3898" w:rsidP="002C3898">
      <w:pPr>
        <w:tabs>
          <w:tab w:val="left" w:pos="2880"/>
        </w:tabs>
        <w:rPr>
          <w:rFonts w:asciiTheme="majorHAnsi" w:hAnsiTheme="majorHAnsi"/>
        </w:rPr>
      </w:pPr>
    </w:p>
    <w:p w:rsidR="002C3898" w:rsidRPr="00EC6CB6" w:rsidRDefault="002C3898" w:rsidP="002C3898">
      <w:pPr>
        <w:tabs>
          <w:tab w:val="left" w:pos="2880"/>
        </w:tabs>
        <w:rPr>
          <w:rFonts w:asciiTheme="majorHAnsi" w:hAnsiTheme="majorHAnsi"/>
        </w:rPr>
      </w:pPr>
      <w:r w:rsidRPr="00EC6CB6">
        <w:rPr>
          <w:rFonts w:asciiTheme="majorHAnsi" w:hAnsiTheme="majorHAnsi"/>
        </w:rPr>
        <w:t>In the above graph we have plotted the future share price of Bangas Limited considering Different sales growth rate. We can see that except for Optimistic Growth Rate , the future share price of Bangas remains close by for other growth rate.</w:t>
      </w:r>
    </w:p>
    <w:p w:rsidR="002C3898" w:rsidRPr="00726C06" w:rsidRDefault="002C3898" w:rsidP="00912431">
      <w:pPr>
        <w:rPr>
          <w:rFonts w:asciiTheme="majorHAnsi" w:hAnsiTheme="majorHAnsi"/>
          <w:sz w:val="24"/>
          <w:szCs w:val="24"/>
        </w:rPr>
      </w:pPr>
    </w:p>
    <w:sectPr w:rsidR="002C3898" w:rsidRPr="00726C06" w:rsidSect="00912431">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38E" w:rsidRDefault="004E638E" w:rsidP="00B16F07">
      <w:pPr>
        <w:spacing w:after="0" w:line="240" w:lineRule="auto"/>
      </w:pPr>
      <w:r>
        <w:separator/>
      </w:r>
    </w:p>
  </w:endnote>
  <w:endnote w:type="continuationSeparator" w:id="1">
    <w:p w:rsidR="004E638E" w:rsidRDefault="004E638E" w:rsidP="00B16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38E" w:rsidRDefault="004E638E" w:rsidP="00B16F07">
      <w:pPr>
        <w:spacing w:after="0" w:line="240" w:lineRule="auto"/>
      </w:pPr>
      <w:r>
        <w:separator/>
      </w:r>
    </w:p>
  </w:footnote>
  <w:footnote w:type="continuationSeparator" w:id="1">
    <w:p w:rsidR="004E638E" w:rsidRDefault="004E638E" w:rsidP="00B16F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6C95"/>
    <w:multiLevelType w:val="hybridMultilevel"/>
    <w:tmpl w:val="CFA2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34819"/>
    <w:multiLevelType w:val="hybridMultilevel"/>
    <w:tmpl w:val="FBBC1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E5A7F"/>
    <w:multiLevelType w:val="hybridMultilevel"/>
    <w:tmpl w:val="E53CC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560AA"/>
    <w:multiLevelType w:val="hybridMultilevel"/>
    <w:tmpl w:val="2F1CA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912431"/>
    <w:rsid w:val="000C6150"/>
    <w:rsid w:val="00105654"/>
    <w:rsid w:val="001100E4"/>
    <w:rsid w:val="001245FC"/>
    <w:rsid w:val="00186EFB"/>
    <w:rsid w:val="001A30E6"/>
    <w:rsid w:val="00205171"/>
    <w:rsid w:val="00270A8A"/>
    <w:rsid w:val="002A20DB"/>
    <w:rsid w:val="002C3898"/>
    <w:rsid w:val="0031375D"/>
    <w:rsid w:val="00316209"/>
    <w:rsid w:val="003C7A0B"/>
    <w:rsid w:val="00487762"/>
    <w:rsid w:val="004E638E"/>
    <w:rsid w:val="00524C24"/>
    <w:rsid w:val="005B4BE6"/>
    <w:rsid w:val="00625235"/>
    <w:rsid w:val="0066079A"/>
    <w:rsid w:val="0066531E"/>
    <w:rsid w:val="00726C06"/>
    <w:rsid w:val="007607DA"/>
    <w:rsid w:val="007712A2"/>
    <w:rsid w:val="007B2F40"/>
    <w:rsid w:val="00805699"/>
    <w:rsid w:val="00820B37"/>
    <w:rsid w:val="008E7707"/>
    <w:rsid w:val="00907479"/>
    <w:rsid w:val="00912431"/>
    <w:rsid w:val="009248B9"/>
    <w:rsid w:val="0094716B"/>
    <w:rsid w:val="00A05311"/>
    <w:rsid w:val="00B12809"/>
    <w:rsid w:val="00B16F07"/>
    <w:rsid w:val="00B250EF"/>
    <w:rsid w:val="00B800E3"/>
    <w:rsid w:val="00B81362"/>
    <w:rsid w:val="00C76412"/>
    <w:rsid w:val="00CC1950"/>
    <w:rsid w:val="00D41FDC"/>
    <w:rsid w:val="00D552EB"/>
    <w:rsid w:val="00DF3CDC"/>
    <w:rsid w:val="00E02FD9"/>
    <w:rsid w:val="00E47DAC"/>
    <w:rsid w:val="00EF1E93"/>
    <w:rsid w:val="00F02F06"/>
    <w:rsid w:val="00F817B3"/>
    <w:rsid w:val="00FA5169"/>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124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12431"/>
    <w:rPr>
      <w:b/>
      <w:bCs/>
    </w:rPr>
  </w:style>
  <w:style w:type="paragraph" w:styleId="Caption">
    <w:name w:val="caption"/>
    <w:basedOn w:val="Normal"/>
    <w:next w:val="Normal"/>
    <w:uiPriority w:val="35"/>
    <w:unhideWhenUsed/>
    <w:qFormat/>
    <w:rsid w:val="007B2F40"/>
    <w:pPr>
      <w:spacing w:after="0" w:line="240" w:lineRule="auto"/>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2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F40"/>
    <w:rPr>
      <w:rFonts w:ascii="Tahoma" w:hAnsi="Tahoma" w:cs="Tahoma"/>
      <w:sz w:val="16"/>
      <w:szCs w:val="16"/>
    </w:rPr>
  </w:style>
  <w:style w:type="paragraph" w:styleId="Header">
    <w:name w:val="header"/>
    <w:basedOn w:val="Normal"/>
    <w:link w:val="HeaderChar"/>
    <w:uiPriority w:val="99"/>
    <w:semiHidden/>
    <w:unhideWhenUsed/>
    <w:rsid w:val="00B16F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6F07"/>
  </w:style>
  <w:style w:type="paragraph" w:styleId="Footer">
    <w:name w:val="footer"/>
    <w:basedOn w:val="Normal"/>
    <w:link w:val="FooterChar"/>
    <w:uiPriority w:val="99"/>
    <w:semiHidden/>
    <w:unhideWhenUsed/>
    <w:rsid w:val="00B16F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6F07"/>
  </w:style>
  <w:style w:type="paragraph" w:styleId="ListParagraph">
    <w:name w:val="List Paragraph"/>
    <w:basedOn w:val="Normal"/>
    <w:uiPriority w:val="34"/>
    <w:qFormat/>
    <w:rsid w:val="0066531E"/>
    <w:pPr>
      <w:ind w:left="720"/>
      <w:contextualSpacing/>
    </w:pPr>
    <w:rPr>
      <w:rFonts w:ascii="Calibri" w:eastAsia="Calibri" w:hAnsi="Calibri" w:cs="Times New Roman"/>
    </w:rPr>
  </w:style>
  <w:style w:type="table" w:styleId="LightGrid-Accent3">
    <w:name w:val="Light Grid Accent 3"/>
    <w:basedOn w:val="TableNormal"/>
    <w:uiPriority w:val="62"/>
    <w:rsid w:val="001245F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6">
    <w:name w:val="Light List Accent 6"/>
    <w:basedOn w:val="TableNormal"/>
    <w:uiPriority w:val="61"/>
    <w:rsid w:val="001245F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245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F3C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mailto:Tax@30%25" TargetMode="Externa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1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mailto:Tax@30%25" TargetMode="External"/><Relationship Id="rId30" Type="http://schemas.openxmlformats.org/officeDocument/2006/relationships/chart" Target="charts/chart2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M.Hasan\Desktop\finalRA+\Ratio%20Analysis_Bangas_RA.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Rajon\Desktop\final\Ratio%20Analysis_Bangas_RA.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Green%20Day\Desktop\Ratio%20Analysis_Bangas_TA.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Green%20Day\Desktop\Ratio%20Analysis_Bangas_TA.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Green%20Day\Desktop\Ratio%20Analysis_Bangas_TA.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Green%20Day\Desktop\Ratio%20Analysis_Bangas_TA.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Green%20Day\Desktop\Ratio%20Analysis_Bangas_TA.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Green%20Day\Desktop\Ratio%20Analysis_Bangas_TA.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Green%20Day\Desktop\Ratio%20Analysis_Bangas_TA.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dmin\Desktop\New%20folder\Regression%20Analysis_Bangas_T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G.M.Hasan\Desktop\Corporate-Project-MdR\Update\Ratio%20Analysis_Bangas_correction.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0.xml.rels><?xml version="1.0" encoding="UTF-8" standalone="yes"?>
<Relationships xmlns="http://schemas.openxmlformats.org/package/2006/relationships"><Relationship Id="rId1" Type="http://schemas.openxmlformats.org/officeDocument/2006/relationships/oleObject" Target="file:///C:\Users\G.M.Hasan\Desktop\Corporate-Project-MdR\Ratio%20Analysis_Bangas_correction.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file:///I:\finance\finance\Ratio%20Analysis_Bangas_T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reen%20Day\Desktop\Ratio%20Analysis_Bangas_T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reen%20Day\Desktop\Ratio%20Analysis_Bangas_T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reen%20Day\Desktop\Ratio%20Analysis_Bangas_T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Rajon\Desktop\final\Ratio%20Analysis_Bangas_RA.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reen%20Day\Desktop\Ratio%20Analysis_Bangas_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Market to Book Value per Share</a:t>
            </a:r>
          </a:p>
        </c:rich>
      </c:tx>
      <c:layout>
        <c:manualLayout>
          <c:xMode val="edge"/>
          <c:yMode val="edge"/>
          <c:x val="0.21453261317541936"/>
          <c:y val="4.6218984531695491E-2"/>
        </c:manualLayout>
      </c:layout>
    </c:title>
    <c:plotArea>
      <c:layout/>
      <c:lineChart>
        <c:grouping val="standard"/>
        <c:ser>
          <c:idx val="0"/>
          <c:order val="0"/>
          <c:tx>
            <c:strRef>
              <c:f>rough!$A$8</c:f>
              <c:strCache>
                <c:ptCount val="1"/>
                <c:pt idx="0">
                  <c:v>Market Price Per share</c:v>
                </c:pt>
              </c:strCache>
            </c:strRef>
          </c:tx>
          <c:cat>
            <c:numRef>
              <c:f>rough!$B$7:$F$7</c:f>
              <c:numCache>
                <c:formatCode>General</c:formatCode>
                <c:ptCount val="5"/>
                <c:pt idx="0">
                  <c:v>2005</c:v>
                </c:pt>
                <c:pt idx="1">
                  <c:v>2006</c:v>
                </c:pt>
                <c:pt idx="2">
                  <c:v>2007</c:v>
                </c:pt>
                <c:pt idx="3">
                  <c:v>2008</c:v>
                </c:pt>
                <c:pt idx="4">
                  <c:v>2009</c:v>
                </c:pt>
              </c:numCache>
            </c:numRef>
          </c:cat>
          <c:val>
            <c:numRef>
              <c:f>rough!$B$8:$F$8</c:f>
              <c:numCache>
                <c:formatCode>_(* #,##0.00_);_(* \(#,##0.00\);_(* "-"??_);_(@_)</c:formatCode>
                <c:ptCount val="5"/>
                <c:pt idx="0">
                  <c:v>326</c:v>
                </c:pt>
                <c:pt idx="1">
                  <c:v>218</c:v>
                </c:pt>
                <c:pt idx="2">
                  <c:v>227.5</c:v>
                </c:pt>
                <c:pt idx="3">
                  <c:v>402.75</c:v>
                </c:pt>
                <c:pt idx="4">
                  <c:v>1669</c:v>
                </c:pt>
              </c:numCache>
            </c:numRef>
          </c:val>
        </c:ser>
        <c:ser>
          <c:idx val="1"/>
          <c:order val="1"/>
          <c:tx>
            <c:strRef>
              <c:f>rough!$A$9</c:f>
              <c:strCache>
                <c:ptCount val="1"/>
                <c:pt idx="0">
                  <c:v>Book Value Per Share</c:v>
                </c:pt>
              </c:strCache>
            </c:strRef>
          </c:tx>
          <c:cat>
            <c:numRef>
              <c:f>rough!$B$7:$F$7</c:f>
              <c:numCache>
                <c:formatCode>General</c:formatCode>
                <c:ptCount val="5"/>
                <c:pt idx="0">
                  <c:v>2005</c:v>
                </c:pt>
                <c:pt idx="1">
                  <c:v>2006</c:v>
                </c:pt>
                <c:pt idx="2">
                  <c:v>2007</c:v>
                </c:pt>
                <c:pt idx="3">
                  <c:v>2008</c:v>
                </c:pt>
                <c:pt idx="4">
                  <c:v>2009</c:v>
                </c:pt>
              </c:numCache>
            </c:numRef>
          </c:cat>
          <c:val>
            <c:numRef>
              <c:f>rough!$B$9:$F$9</c:f>
              <c:numCache>
                <c:formatCode>0.00</c:formatCode>
                <c:ptCount val="5"/>
                <c:pt idx="0" formatCode="_(* #,##0.00_);_(* \(#,##0.00\);_(* &quot;-&quot;??_);_(@_)">
                  <c:v>144.06</c:v>
                </c:pt>
                <c:pt idx="1">
                  <c:v>146.54</c:v>
                </c:pt>
                <c:pt idx="2" formatCode="_(* #,##0.00_);_(* \(#,##0.00\);_(* &quot;-&quot;??_);_(@_)">
                  <c:v>155.28</c:v>
                </c:pt>
                <c:pt idx="3" formatCode="_(* #,##0.00_);_(* \(#,##0.00\);_(* &quot;-&quot;??_);_(@_)">
                  <c:v>162.78</c:v>
                </c:pt>
                <c:pt idx="4" formatCode="_(* #,##0.00_);_(* \(#,##0.00\);_(* &quot;-&quot;??_);_(@_)">
                  <c:v>164.8</c:v>
                </c:pt>
              </c:numCache>
            </c:numRef>
          </c:val>
        </c:ser>
        <c:marker val="1"/>
        <c:axId val="87741952"/>
        <c:axId val="108966272"/>
      </c:lineChart>
      <c:catAx>
        <c:axId val="87741952"/>
        <c:scaling>
          <c:orientation val="minMax"/>
        </c:scaling>
        <c:axPos val="b"/>
        <c:numFmt formatCode="General" sourceLinked="1"/>
        <c:majorTickMark val="none"/>
        <c:tickLblPos val="nextTo"/>
        <c:crossAx val="108966272"/>
        <c:crosses val="autoZero"/>
        <c:auto val="1"/>
        <c:lblAlgn val="ctr"/>
        <c:lblOffset val="100"/>
      </c:catAx>
      <c:valAx>
        <c:axId val="108966272"/>
        <c:scaling>
          <c:orientation val="minMax"/>
        </c:scaling>
        <c:axPos val="l"/>
        <c:majorGridlines/>
        <c:numFmt formatCode="_(* #,##0.00_);_(* \(#,##0.00\);_(* &quot;-&quot;??_);_(@_)" sourceLinked="1"/>
        <c:majorTickMark val="none"/>
        <c:tickLblPos val="nextTo"/>
        <c:crossAx val="87741952"/>
        <c:crosses val="autoZero"/>
        <c:crossBetween val="between"/>
      </c:valAx>
      <c:dTable>
        <c:showHorzBorder val="1"/>
        <c:showVertBorder val="1"/>
        <c:showOutline val="1"/>
        <c:showKeys val="1"/>
      </c:dTable>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Debt Ratio</a:t>
            </a:r>
          </a:p>
        </c:rich>
      </c:tx>
      <c:spPr>
        <a:noFill/>
        <a:ln w="25400">
          <a:noFill/>
        </a:ln>
      </c:spPr>
    </c:title>
    <c:plotArea>
      <c:layout/>
      <c:lineChart>
        <c:grouping val="standard"/>
        <c:ser>
          <c:idx val="0"/>
          <c:order val="0"/>
          <c:tx>
            <c:strRef>
              <c:f>'Ratio Analysis'!$A$54</c:f>
              <c:strCache>
                <c:ptCount val="1"/>
                <c:pt idx="0">
                  <c:v>BANGAS</c:v>
                </c:pt>
              </c:strCache>
            </c:strRef>
          </c:tx>
          <c:cat>
            <c:numRef>
              <c:f>'Ratio Analysis'!$B$54:$F$54</c:f>
              <c:numCache>
                <c:formatCode>General</c:formatCode>
                <c:ptCount val="5"/>
                <c:pt idx="0">
                  <c:v>2009</c:v>
                </c:pt>
                <c:pt idx="1">
                  <c:v>2008</c:v>
                </c:pt>
                <c:pt idx="2">
                  <c:v>2007</c:v>
                </c:pt>
                <c:pt idx="3">
                  <c:v>2006</c:v>
                </c:pt>
                <c:pt idx="4">
                  <c:v>2005</c:v>
                </c:pt>
              </c:numCache>
            </c:numRef>
          </c:cat>
          <c:val>
            <c:numRef>
              <c:f>'Ratio Analysis'!$B$57:$F$57</c:f>
              <c:numCache>
                <c:formatCode>0.00%</c:formatCode>
                <c:ptCount val="5"/>
                <c:pt idx="0">
                  <c:v>0.82233380339874962</c:v>
                </c:pt>
                <c:pt idx="1">
                  <c:v>0.81292792151412363</c:v>
                </c:pt>
                <c:pt idx="2">
                  <c:v>0.78957138545988803</c:v>
                </c:pt>
                <c:pt idx="3">
                  <c:v>0.8159096088099167</c:v>
                </c:pt>
                <c:pt idx="4">
                  <c:v>0.81734967460745978</c:v>
                </c:pt>
              </c:numCache>
            </c:numRef>
          </c:val>
        </c:ser>
        <c:ser>
          <c:idx val="1"/>
          <c:order val="1"/>
          <c:tx>
            <c:strRef>
              <c:f>'Ratio Analysis'!$A$59</c:f>
              <c:strCache>
                <c:ptCount val="1"/>
                <c:pt idx="0">
                  <c:v>Olympic</c:v>
                </c:pt>
              </c:strCache>
            </c:strRef>
          </c:tx>
          <c:cat>
            <c:numRef>
              <c:f>'Ratio Analysis'!$B$54:$F$54</c:f>
              <c:numCache>
                <c:formatCode>General</c:formatCode>
                <c:ptCount val="5"/>
                <c:pt idx="0">
                  <c:v>2009</c:v>
                </c:pt>
                <c:pt idx="1">
                  <c:v>2008</c:v>
                </c:pt>
                <c:pt idx="2">
                  <c:v>2007</c:v>
                </c:pt>
                <c:pt idx="3">
                  <c:v>2006</c:v>
                </c:pt>
                <c:pt idx="4">
                  <c:v>2005</c:v>
                </c:pt>
              </c:numCache>
            </c:numRef>
          </c:cat>
          <c:val>
            <c:numRef>
              <c:f>'Ratio Analysis'!$B$62:$F$62</c:f>
              <c:numCache>
                <c:formatCode>0.00%</c:formatCode>
                <c:ptCount val="5"/>
                <c:pt idx="0">
                  <c:v>0.72000000000000064</c:v>
                </c:pt>
                <c:pt idx="1">
                  <c:v>0.66000000000000181</c:v>
                </c:pt>
                <c:pt idx="2">
                  <c:v>0.71000000000000063</c:v>
                </c:pt>
                <c:pt idx="3">
                  <c:v>0.5325960455143145</c:v>
                </c:pt>
                <c:pt idx="4">
                  <c:v>0.54156596872710183</c:v>
                </c:pt>
              </c:numCache>
            </c:numRef>
          </c:val>
        </c:ser>
        <c:marker val="1"/>
        <c:axId val="130500864"/>
        <c:axId val="130506752"/>
      </c:lineChart>
      <c:catAx>
        <c:axId val="130500864"/>
        <c:scaling>
          <c:orientation val="minMax"/>
        </c:scaling>
        <c:axPos val="b"/>
        <c:numFmt formatCode="General" sourceLinked="1"/>
        <c:majorTickMark val="none"/>
        <c:tickLblPos val="nextTo"/>
        <c:crossAx val="130506752"/>
        <c:crosses val="autoZero"/>
        <c:auto val="1"/>
        <c:lblAlgn val="ctr"/>
        <c:lblOffset val="100"/>
      </c:catAx>
      <c:valAx>
        <c:axId val="130506752"/>
        <c:scaling>
          <c:orientation val="minMax"/>
        </c:scaling>
        <c:axPos val="l"/>
        <c:majorGridlines/>
        <c:numFmt formatCode="0.00%" sourceLinked="1"/>
        <c:majorTickMark val="none"/>
        <c:tickLblPos val="nextTo"/>
        <c:crossAx val="130500864"/>
        <c:crosses val="autoZero"/>
        <c:crossBetween val="between"/>
      </c:valAx>
      <c:dTable>
        <c:showHorzBorder val="1"/>
        <c:showVertBorder val="1"/>
        <c:showOutline val="1"/>
        <c:showKeys val="1"/>
      </c:dTable>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Time Interest Earned (TIE) Ratio</a:t>
            </a:r>
          </a:p>
        </c:rich>
      </c:tx>
      <c:spPr>
        <a:noFill/>
        <a:ln w="25400">
          <a:noFill/>
        </a:ln>
      </c:spPr>
    </c:title>
    <c:plotArea>
      <c:layout/>
      <c:lineChart>
        <c:grouping val="standard"/>
        <c:ser>
          <c:idx val="0"/>
          <c:order val="0"/>
          <c:tx>
            <c:strRef>
              <c:f>'Ratio Analysis'!$A$68</c:f>
              <c:strCache>
                <c:ptCount val="1"/>
                <c:pt idx="0">
                  <c:v>BANGAS</c:v>
                </c:pt>
              </c:strCache>
            </c:strRef>
          </c:tx>
          <c:cat>
            <c:numRef>
              <c:f>'Ratio Analysis'!$B$68:$F$68</c:f>
              <c:numCache>
                <c:formatCode>General</c:formatCode>
                <c:ptCount val="5"/>
                <c:pt idx="0">
                  <c:v>2009</c:v>
                </c:pt>
                <c:pt idx="1">
                  <c:v>2008</c:v>
                </c:pt>
                <c:pt idx="2">
                  <c:v>2007</c:v>
                </c:pt>
                <c:pt idx="3">
                  <c:v>2006</c:v>
                </c:pt>
                <c:pt idx="4">
                  <c:v>2005</c:v>
                </c:pt>
              </c:numCache>
            </c:numRef>
          </c:cat>
          <c:val>
            <c:numRef>
              <c:f>'Ratio Analysis'!$B$71:$F$71</c:f>
              <c:numCache>
                <c:formatCode>0.00</c:formatCode>
                <c:ptCount val="5"/>
                <c:pt idx="0">
                  <c:v>2.2880063306041993</c:v>
                </c:pt>
                <c:pt idx="1">
                  <c:v>2.7520123935416567</c:v>
                </c:pt>
                <c:pt idx="2">
                  <c:v>4.2131490157231237</c:v>
                </c:pt>
                <c:pt idx="3">
                  <c:v>3.7209891603850367</c:v>
                </c:pt>
                <c:pt idx="4">
                  <c:v>18.098596166529159</c:v>
                </c:pt>
              </c:numCache>
            </c:numRef>
          </c:val>
        </c:ser>
        <c:ser>
          <c:idx val="1"/>
          <c:order val="1"/>
          <c:tx>
            <c:strRef>
              <c:f>'Ratio Analysis'!$A$73</c:f>
              <c:strCache>
                <c:ptCount val="1"/>
                <c:pt idx="0">
                  <c:v>Olympic</c:v>
                </c:pt>
              </c:strCache>
            </c:strRef>
          </c:tx>
          <c:cat>
            <c:numRef>
              <c:f>'Ratio Analysis'!$B$68:$F$68</c:f>
              <c:numCache>
                <c:formatCode>General</c:formatCode>
                <c:ptCount val="5"/>
                <c:pt idx="0">
                  <c:v>2009</c:v>
                </c:pt>
                <c:pt idx="1">
                  <c:v>2008</c:v>
                </c:pt>
                <c:pt idx="2">
                  <c:v>2007</c:v>
                </c:pt>
                <c:pt idx="3">
                  <c:v>2006</c:v>
                </c:pt>
                <c:pt idx="4">
                  <c:v>2005</c:v>
                </c:pt>
              </c:numCache>
            </c:numRef>
          </c:cat>
          <c:val>
            <c:numRef>
              <c:f>'Ratio Analysis'!$B$76:$F$76</c:f>
              <c:numCache>
                <c:formatCode>0.00</c:formatCode>
                <c:ptCount val="5"/>
                <c:pt idx="0">
                  <c:v>3.6825311415029138</c:v>
                </c:pt>
                <c:pt idx="1">
                  <c:v>3.6034552821108958</c:v>
                </c:pt>
                <c:pt idx="2">
                  <c:v>3.8149950476383401</c:v>
                </c:pt>
                <c:pt idx="3">
                  <c:v>3.3333329790114536</c:v>
                </c:pt>
                <c:pt idx="4">
                  <c:v>2.3293921502149826</c:v>
                </c:pt>
              </c:numCache>
            </c:numRef>
          </c:val>
        </c:ser>
        <c:marker val="1"/>
        <c:axId val="130516480"/>
        <c:axId val="130518016"/>
      </c:lineChart>
      <c:catAx>
        <c:axId val="130516480"/>
        <c:scaling>
          <c:orientation val="minMax"/>
        </c:scaling>
        <c:axPos val="b"/>
        <c:numFmt formatCode="General" sourceLinked="1"/>
        <c:majorTickMark val="none"/>
        <c:tickLblPos val="nextTo"/>
        <c:crossAx val="130518016"/>
        <c:crosses val="autoZero"/>
        <c:auto val="1"/>
        <c:lblAlgn val="ctr"/>
        <c:lblOffset val="100"/>
      </c:catAx>
      <c:valAx>
        <c:axId val="130518016"/>
        <c:scaling>
          <c:orientation val="minMax"/>
        </c:scaling>
        <c:axPos val="l"/>
        <c:majorGridlines/>
        <c:numFmt formatCode="0.00" sourceLinked="1"/>
        <c:majorTickMark val="none"/>
        <c:tickLblPos val="nextTo"/>
        <c:crossAx val="130516480"/>
        <c:crosses val="autoZero"/>
        <c:crossBetween val="between"/>
      </c:valAx>
      <c:dTable>
        <c:showHorzBorder val="1"/>
        <c:showVertBorder val="1"/>
        <c:showOutline val="1"/>
        <c:showKeys val="1"/>
      </c:dTable>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Profit Margin Ratio</a:t>
            </a:r>
          </a:p>
        </c:rich>
      </c:tx>
      <c:spPr>
        <a:noFill/>
        <a:ln w="25400">
          <a:noFill/>
        </a:ln>
      </c:spPr>
    </c:title>
    <c:plotArea>
      <c:layout/>
      <c:lineChart>
        <c:grouping val="standard"/>
        <c:ser>
          <c:idx val="0"/>
          <c:order val="0"/>
          <c:tx>
            <c:strRef>
              <c:f>'Ratio Analysis'!$A$123</c:f>
              <c:strCache>
                <c:ptCount val="1"/>
                <c:pt idx="0">
                  <c:v>BANGAS</c:v>
                </c:pt>
              </c:strCache>
            </c:strRef>
          </c:tx>
          <c:cat>
            <c:numRef>
              <c:f>'Ratio Analysis'!$B$123:$F$123</c:f>
              <c:numCache>
                <c:formatCode>General</c:formatCode>
                <c:ptCount val="5"/>
                <c:pt idx="0">
                  <c:v>2009</c:v>
                </c:pt>
                <c:pt idx="1">
                  <c:v>2008</c:v>
                </c:pt>
                <c:pt idx="2">
                  <c:v>2007</c:v>
                </c:pt>
                <c:pt idx="3">
                  <c:v>2006</c:v>
                </c:pt>
                <c:pt idx="4">
                  <c:v>2005</c:v>
                </c:pt>
              </c:numCache>
            </c:numRef>
          </c:cat>
          <c:val>
            <c:numRef>
              <c:f>'Ratio Analysis'!$B$126:$F$126</c:f>
              <c:numCache>
                <c:formatCode>0.00%</c:formatCode>
                <c:ptCount val="5"/>
                <c:pt idx="0">
                  <c:v>1.360292560795456E-2</c:v>
                </c:pt>
                <c:pt idx="1">
                  <c:v>1.7385931223668223E-2</c:v>
                </c:pt>
                <c:pt idx="2">
                  <c:v>2.0113364941840038E-2</c:v>
                </c:pt>
                <c:pt idx="3">
                  <c:v>1.5783700784546835E-2</c:v>
                </c:pt>
                <c:pt idx="4">
                  <c:v>7.7944315989331835E-3</c:v>
                </c:pt>
              </c:numCache>
            </c:numRef>
          </c:val>
        </c:ser>
        <c:ser>
          <c:idx val="1"/>
          <c:order val="1"/>
          <c:tx>
            <c:strRef>
              <c:f>'Ratio Analysis'!$A$128</c:f>
              <c:strCache>
                <c:ptCount val="1"/>
                <c:pt idx="0">
                  <c:v>Olympic</c:v>
                </c:pt>
              </c:strCache>
            </c:strRef>
          </c:tx>
          <c:cat>
            <c:numRef>
              <c:f>'Ratio Analysis'!$B$123:$F$123</c:f>
              <c:numCache>
                <c:formatCode>General</c:formatCode>
                <c:ptCount val="5"/>
                <c:pt idx="0">
                  <c:v>2009</c:v>
                </c:pt>
                <c:pt idx="1">
                  <c:v>2008</c:v>
                </c:pt>
                <c:pt idx="2">
                  <c:v>2007</c:v>
                </c:pt>
                <c:pt idx="3">
                  <c:v>2006</c:v>
                </c:pt>
                <c:pt idx="4">
                  <c:v>2005</c:v>
                </c:pt>
              </c:numCache>
            </c:numRef>
          </c:cat>
          <c:val>
            <c:numRef>
              <c:f>'Ratio Analysis'!$B$131:$F$131</c:f>
              <c:numCache>
                <c:formatCode>0.00%</c:formatCode>
                <c:ptCount val="5"/>
                <c:pt idx="0">
                  <c:v>6.1348918430454057E-2</c:v>
                </c:pt>
                <c:pt idx="1">
                  <c:v>3.1017640037788886E-2</c:v>
                </c:pt>
                <c:pt idx="2">
                  <c:v>3.0767021482092941E-2</c:v>
                </c:pt>
                <c:pt idx="3">
                  <c:v>2.3226717548491854E-2</c:v>
                </c:pt>
                <c:pt idx="4">
                  <c:v>1.7499199473112771E-2</c:v>
                </c:pt>
              </c:numCache>
            </c:numRef>
          </c:val>
        </c:ser>
        <c:marker val="1"/>
        <c:axId val="130564864"/>
        <c:axId val="130566400"/>
      </c:lineChart>
      <c:catAx>
        <c:axId val="130564864"/>
        <c:scaling>
          <c:orientation val="minMax"/>
        </c:scaling>
        <c:axPos val="b"/>
        <c:numFmt formatCode="General" sourceLinked="1"/>
        <c:majorTickMark val="none"/>
        <c:tickLblPos val="nextTo"/>
        <c:crossAx val="130566400"/>
        <c:crosses val="autoZero"/>
        <c:auto val="1"/>
        <c:lblAlgn val="ctr"/>
        <c:lblOffset val="100"/>
      </c:catAx>
      <c:valAx>
        <c:axId val="130566400"/>
        <c:scaling>
          <c:orientation val="minMax"/>
        </c:scaling>
        <c:axPos val="l"/>
        <c:majorGridlines/>
        <c:numFmt formatCode="0.00%" sourceLinked="1"/>
        <c:majorTickMark val="none"/>
        <c:tickLblPos val="nextTo"/>
        <c:crossAx val="130564864"/>
        <c:crosses val="autoZero"/>
        <c:crossBetween val="between"/>
      </c:valAx>
      <c:dTable>
        <c:showHorzBorder val="1"/>
        <c:showVertBorder val="1"/>
        <c:showOutline val="1"/>
        <c:showKeys val="1"/>
      </c:dTable>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Return On Asset (ROA)</a:t>
            </a:r>
          </a:p>
        </c:rich>
      </c:tx>
      <c:spPr>
        <a:noFill/>
        <a:ln w="25400">
          <a:noFill/>
        </a:ln>
      </c:spPr>
    </c:title>
    <c:plotArea>
      <c:layout/>
      <c:lineChart>
        <c:grouping val="standard"/>
        <c:ser>
          <c:idx val="0"/>
          <c:order val="0"/>
          <c:tx>
            <c:strRef>
              <c:f>'Ratio Analysis'!$A$136</c:f>
              <c:strCache>
                <c:ptCount val="1"/>
                <c:pt idx="0">
                  <c:v>BANGAS</c:v>
                </c:pt>
              </c:strCache>
            </c:strRef>
          </c:tx>
          <c:cat>
            <c:numRef>
              <c:f>'Ratio Analysis'!$B$128:$F$128</c:f>
              <c:numCache>
                <c:formatCode>General</c:formatCode>
                <c:ptCount val="5"/>
                <c:pt idx="0">
                  <c:v>2009</c:v>
                </c:pt>
                <c:pt idx="1">
                  <c:v>2008</c:v>
                </c:pt>
                <c:pt idx="2">
                  <c:v>2007</c:v>
                </c:pt>
                <c:pt idx="3">
                  <c:v>2006</c:v>
                </c:pt>
                <c:pt idx="4">
                  <c:v>2005</c:v>
                </c:pt>
              </c:numCache>
            </c:numRef>
          </c:cat>
          <c:val>
            <c:numRef>
              <c:f>'Ratio Analysis'!$B$139:$F$139</c:f>
              <c:numCache>
                <c:formatCode>0.00%</c:formatCode>
                <c:ptCount val="5"/>
                <c:pt idx="0">
                  <c:v>1.8346458175597425E-2</c:v>
                </c:pt>
                <c:pt idx="1">
                  <c:v>2.5863195384211928E-2</c:v>
                </c:pt>
                <c:pt idx="2">
                  <c:v>2.9465772123496256E-2</c:v>
                </c:pt>
                <c:pt idx="3">
                  <c:v>1.8808126357269007E-2</c:v>
                </c:pt>
                <c:pt idx="4">
                  <c:v>8.9664179615398208E-3</c:v>
                </c:pt>
              </c:numCache>
            </c:numRef>
          </c:val>
        </c:ser>
        <c:ser>
          <c:idx val="1"/>
          <c:order val="1"/>
          <c:tx>
            <c:strRef>
              <c:f>'Ratio Analysis'!$A$141</c:f>
              <c:strCache>
                <c:ptCount val="1"/>
                <c:pt idx="0">
                  <c:v>Olympic</c:v>
                </c:pt>
              </c:strCache>
            </c:strRef>
          </c:tx>
          <c:cat>
            <c:numRef>
              <c:f>'Ratio Analysis'!$B$128:$F$128</c:f>
              <c:numCache>
                <c:formatCode>General</c:formatCode>
                <c:ptCount val="5"/>
                <c:pt idx="0">
                  <c:v>2009</c:v>
                </c:pt>
                <c:pt idx="1">
                  <c:v>2008</c:v>
                </c:pt>
                <c:pt idx="2">
                  <c:v>2007</c:v>
                </c:pt>
                <c:pt idx="3">
                  <c:v>2006</c:v>
                </c:pt>
                <c:pt idx="4">
                  <c:v>2005</c:v>
                </c:pt>
              </c:numCache>
            </c:numRef>
          </c:cat>
          <c:val>
            <c:numRef>
              <c:f>'Ratio Analysis'!$B$144:$F$144</c:f>
              <c:numCache>
                <c:formatCode>0.00%</c:formatCode>
                <c:ptCount val="5"/>
                <c:pt idx="0">
                  <c:v>0.12928640912394634</c:v>
                </c:pt>
                <c:pt idx="1">
                  <c:v>5.9169661792967773E-2</c:v>
                </c:pt>
                <c:pt idx="2">
                  <c:v>4.8956203797342702E-2</c:v>
                </c:pt>
                <c:pt idx="3">
                  <c:v>3.5993313369948952E-2</c:v>
                </c:pt>
                <c:pt idx="4">
                  <c:v>1.8116958238585185E-2</c:v>
                </c:pt>
              </c:numCache>
            </c:numRef>
          </c:val>
        </c:ser>
        <c:marker val="1"/>
        <c:axId val="130596864"/>
        <c:axId val="130598400"/>
      </c:lineChart>
      <c:catAx>
        <c:axId val="130596864"/>
        <c:scaling>
          <c:orientation val="minMax"/>
        </c:scaling>
        <c:axPos val="b"/>
        <c:numFmt formatCode="General" sourceLinked="1"/>
        <c:majorTickMark val="none"/>
        <c:tickLblPos val="nextTo"/>
        <c:crossAx val="130598400"/>
        <c:crosses val="autoZero"/>
        <c:auto val="1"/>
        <c:lblAlgn val="ctr"/>
        <c:lblOffset val="100"/>
      </c:catAx>
      <c:valAx>
        <c:axId val="130598400"/>
        <c:scaling>
          <c:orientation val="minMax"/>
        </c:scaling>
        <c:axPos val="l"/>
        <c:majorGridlines/>
        <c:numFmt formatCode="0.00%" sourceLinked="1"/>
        <c:majorTickMark val="none"/>
        <c:tickLblPos val="nextTo"/>
        <c:crossAx val="130596864"/>
        <c:crosses val="autoZero"/>
        <c:crossBetween val="between"/>
      </c:valAx>
      <c:dTable>
        <c:showHorzBorder val="1"/>
        <c:showVertBorder val="1"/>
        <c:showOutline val="1"/>
        <c:showKeys val="1"/>
      </c:dTable>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Return On Equity</a:t>
            </a:r>
          </a:p>
        </c:rich>
      </c:tx>
      <c:spPr>
        <a:noFill/>
        <a:ln w="25400">
          <a:noFill/>
        </a:ln>
      </c:spPr>
    </c:title>
    <c:plotArea>
      <c:layout/>
      <c:lineChart>
        <c:grouping val="standard"/>
        <c:ser>
          <c:idx val="0"/>
          <c:order val="0"/>
          <c:tx>
            <c:strRef>
              <c:f>'Ratio Analysis'!$A$149</c:f>
              <c:strCache>
                <c:ptCount val="1"/>
                <c:pt idx="0">
                  <c:v>BANGAS</c:v>
                </c:pt>
              </c:strCache>
            </c:strRef>
          </c:tx>
          <c:cat>
            <c:numRef>
              <c:f>'Ratio Analysis'!$B$149:$F$149</c:f>
              <c:numCache>
                <c:formatCode>General</c:formatCode>
                <c:ptCount val="5"/>
                <c:pt idx="0">
                  <c:v>2009</c:v>
                </c:pt>
                <c:pt idx="1">
                  <c:v>2008</c:v>
                </c:pt>
                <c:pt idx="2">
                  <c:v>2007</c:v>
                </c:pt>
                <c:pt idx="3">
                  <c:v>2006</c:v>
                </c:pt>
                <c:pt idx="4">
                  <c:v>2005</c:v>
                </c:pt>
              </c:numCache>
            </c:numRef>
          </c:cat>
          <c:val>
            <c:numRef>
              <c:f>'Ratio Analysis'!$B$152:$F$152</c:f>
              <c:numCache>
                <c:formatCode>0.00%</c:formatCode>
                <c:ptCount val="5"/>
                <c:pt idx="0">
                  <c:v>0.10326364005401535</c:v>
                </c:pt>
                <c:pt idx="1">
                  <c:v>0.13825256870797259</c:v>
                </c:pt>
                <c:pt idx="2">
                  <c:v>0.10216788739314753</c:v>
                </c:pt>
                <c:pt idx="3">
                  <c:v>4.9090621340365848E-2</c:v>
                </c:pt>
                <c:pt idx="4">
                  <c:v>4.8262744266932882E-2</c:v>
                </c:pt>
              </c:numCache>
            </c:numRef>
          </c:val>
        </c:ser>
        <c:ser>
          <c:idx val="1"/>
          <c:order val="1"/>
          <c:tx>
            <c:strRef>
              <c:f>'Ratio Analysis'!$A$154</c:f>
              <c:strCache>
                <c:ptCount val="1"/>
                <c:pt idx="0">
                  <c:v>Olympic</c:v>
                </c:pt>
              </c:strCache>
            </c:strRef>
          </c:tx>
          <c:cat>
            <c:numRef>
              <c:f>'Ratio Analysis'!$B$149:$F$149</c:f>
              <c:numCache>
                <c:formatCode>General</c:formatCode>
                <c:ptCount val="5"/>
                <c:pt idx="0">
                  <c:v>2009</c:v>
                </c:pt>
                <c:pt idx="1">
                  <c:v>2008</c:v>
                </c:pt>
                <c:pt idx="2">
                  <c:v>2007</c:v>
                </c:pt>
                <c:pt idx="3">
                  <c:v>2006</c:v>
                </c:pt>
                <c:pt idx="4">
                  <c:v>2005</c:v>
                </c:pt>
              </c:numCache>
            </c:numRef>
          </c:cat>
          <c:val>
            <c:numRef>
              <c:f>'Ratio Analysis'!$B$157:$F$157</c:f>
              <c:numCache>
                <c:formatCode>0.00%</c:formatCode>
                <c:ptCount val="5"/>
                <c:pt idx="0">
                  <c:v>0.36347682081922766</c:v>
                </c:pt>
                <c:pt idx="1">
                  <c:v>0.14036563636643243</c:v>
                </c:pt>
                <c:pt idx="2">
                  <c:v>0.1099007999699852</c:v>
                </c:pt>
                <c:pt idx="3">
                  <c:v>8.2730021709272267E-2</c:v>
                </c:pt>
                <c:pt idx="4">
                  <c:v>4.0728642355220813E-2</c:v>
                </c:pt>
              </c:numCache>
            </c:numRef>
          </c:val>
        </c:ser>
        <c:marker val="1"/>
        <c:axId val="124726272"/>
        <c:axId val="124736256"/>
      </c:lineChart>
      <c:catAx>
        <c:axId val="124726272"/>
        <c:scaling>
          <c:orientation val="minMax"/>
        </c:scaling>
        <c:axPos val="b"/>
        <c:numFmt formatCode="General" sourceLinked="1"/>
        <c:majorTickMark val="none"/>
        <c:tickLblPos val="nextTo"/>
        <c:crossAx val="124736256"/>
        <c:crosses val="autoZero"/>
        <c:auto val="1"/>
        <c:lblAlgn val="ctr"/>
        <c:lblOffset val="100"/>
      </c:catAx>
      <c:valAx>
        <c:axId val="124736256"/>
        <c:scaling>
          <c:orientation val="minMax"/>
        </c:scaling>
        <c:axPos val="l"/>
        <c:majorGridlines/>
        <c:numFmt formatCode="0.00%" sourceLinked="1"/>
        <c:majorTickMark val="none"/>
        <c:tickLblPos val="nextTo"/>
        <c:crossAx val="124726272"/>
        <c:crosses val="autoZero"/>
        <c:crossBetween val="between"/>
      </c:valAx>
      <c:dTable>
        <c:showHorzBorder val="1"/>
        <c:showVertBorder val="1"/>
        <c:showOutline val="1"/>
        <c:showKeys val="1"/>
      </c:dTable>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EPS</a:t>
            </a:r>
          </a:p>
        </c:rich>
      </c:tx>
      <c:spPr>
        <a:noFill/>
        <a:ln w="25400">
          <a:noFill/>
        </a:ln>
      </c:spPr>
    </c:title>
    <c:plotArea>
      <c:layout/>
      <c:lineChart>
        <c:grouping val="standard"/>
        <c:ser>
          <c:idx val="0"/>
          <c:order val="0"/>
          <c:tx>
            <c:strRef>
              <c:f>'Ratio Analysis'!$A$163</c:f>
              <c:strCache>
                <c:ptCount val="1"/>
                <c:pt idx="0">
                  <c:v>BANGAS</c:v>
                </c:pt>
              </c:strCache>
            </c:strRef>
          </c:tx>
          <c:cat>
            <c:numRef>
              <c:f>'Ratio Analysis'!$B$163:$F$163</c:f>
              <c:numCache>
                <c:formatCode>General</c:formatCode>
                <c:ptCount val="5"/>
                <c:pt idx="0">
                  <c:v>2009</c:v>
                </c:pt>
                <c:pt idx="1">
                  <c:v>2008</c:v>
                </c:pt>
                <c:pt idx="2">
                  <c:v>2007</c:v>
                </c:pt>
                <c:pt idx="3">
                  <c:v>2006</c:v>
                </c:pt>
                <c:pt idx="4">
                  <c:v>2005</c:v>
                </c:pt>
              </c:numCache>
            </c:numRef>
          </c:cat>
          <c:val>
            <c:numRef>
              <c:f>'Ratio Analysis'!$B$166:$F$166</c:f>
              <c:numCache>
                <c:formatCode>0.00</c:formatCode>
                <c:ptCount val="5"/>
                <c:pt idx="0">
                  <c:v>17.018055555555591</c:v>
                </c:pt>
                <c:pt idx="1">
                  <c:v>22.505299999999949</c:v>
                </c:pt>
                <c:pt idx="2">
                  <c:v>21.743266666666667</c:v>
                </c:pt>
                <c:pt idx="3">
                  <c:v>14.971211111111089</c:v>
                </c:pt>
                <c:pt idx="4">
                  <c:v>7.0721999999999996</c:v>
                </c:pt>
              </c:numCache>
            </c:numRef>
          </c:val>
        </c:ser>
        <c:ser>
          <c:idx val="1"/>
          <c:order val="1"/>
          <c:tx>
            <c:strRef>
              <c:f>'Ratio Analysis'!$A$168</c:f>
              <c:strCache>
                <c:ptCount val="1"/>
                <c:pt idx="0">
                  <c:v>Olympic</c:v>
                </c:pt>
              </c:strCache>
            </c:strRef>
          </c:tx>
          <c:cat>
            <c:numRef>
              <c:f>'Ratio Analysis'!$B$163:$F$163</c:f>
              <c:numCache>
                <c:formatCode>General</c:formatCode>
                <c:ptCount val="5"/>
                <c:pt idx="0">
                  <c:v>2009</c:v>
                </c:pt>
                <c:pt idx="1">
                  <c:v>2008</c:v>
                </c:pt>
                <c:pt idx="2">
                  <c:v>2007</c:v>
                </c:pt>
                <c:pt idx="3">
                  <c:v>2006</c:v>
                </c:pt>
                <c:pt idx="4">
                  <c:v>2005</c:v>
                </c:pt>
              </c:numCache>
            </c:numRef>
          </c:cat>
          <c:val>
            <c:numRef>
              <c:f>'Ratio Analysis'!$B$171:$F$171</c:f>
              <c:numCache>
                <c:formatCode>0.00</c:formatCode>
                <c:ptCount val="5"/>
                <c:pt idx="0">
                  <c:v>66.571579783011373</c:v>
                </c:pt>
                <c:pt idx="1">
                  <c:v>66.571579783011373</c:v>
                </c:pt>
                <c:pt idx="2">
                  <c:v>23.407104847512571</c:v>
                </c:pt>
                <c:pt idx="3">
                  <c:v>18.835119141239382</c:v>
                </c:pt>
                <c:pt idx="4">
                  <c:v>13.96242170586385</c:v>
                </c:pt>
              </c:numCache>
            </c:numRef>
          </c:val>
        </c:ser>
        <c:marker val="1"/>
        <c:axId val="124778752"/>
        <c:axId val="130355200"/>
      </c:lineChart>
      <c:catAx>
        <c:axId val="124778752"/>
        <c:scaling>
          <c:orientation val="minMax"/>
        </c:scaling>
        <c:axPos val="b"/>
        <c:numFmt formatCode="General" sourceLinked="1"/>
        <c:majorTickMark val="none"/>
        <c:tickLblPos val="nextTo"/>
        <c:crossAx val="130355200"/>
        <c:crosses val="autoZero"/>
        <c:auto val="1"/>
        <c:lblAlgn val="ctr"/>
        <c:lblOffset val="100"/>
      </c:catAx>
      <c:valAx>
        <c:axId val="130355200"/>
        <c:scaling>
          <c:orientation val="minMax"/>
        </c:scaling>
        <c:axPos val="l"/>
        <c:majorGridlines/>
        <c:numFmt formatCode="0.00" sourceLinked="1"/>
        <c:majorTickMark val="none"/>
        <c:tickLblPos val="nextTo"/>
        <c:crossAx val="124778752"/>
        <c:crosses val="autoZero"/>
        <c:crossBetween val="between"/>
      </c:valAx>
      <c:dTable>
        <c:showHorzBorder val="1"/>
        <c:showVertBorder val="1"/>
        <c:showOutline val="1"/>
        <c:showKeys val="1"/>
      </c:dTable>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PE Ratio</a:t>
            </a:r>
          </a:p>
        </c:rich>
      </c:tx>
      <c:spPr>
        <a:noFill/>
        <a:ln w="25400">
          <a:noFill/>
        </a:ln>
      </c:spPr>
    </c:title>
    <c:plotArea>
      <c:layout/>
      <c:lineChart>
        <c:grouping val="standard"/>
        <c:ser>
          <c:idx val="0"/>
          <c:order val="0"/>
          <c:tx>
            <c:strRef>
              <c:f>'Ratio Analysis'!$A$176</c:f>
              <c:strCache>
                <c:ptCount val="1"/>
                <c:pt idx="0">
                  <c:v>BANGAS</c:v>
                </c:pt>
              </c:strCache>
            </c:strRef>
          </c:tx>
          <c:cat>
            <c:numRef>
              <c:f>'Ratio Analysis'!$B$168:$F$168</c:f>
              <c:numCache>
                <c:formatCode>General</c:formatCode>
                <c:ptCount val="5"/>
                <c:pt idx="0">
                  <c:v>2009</c:v>
                </c:pt>
                <c:pt idx="1">
                  <c:v>2008</c:v>
                </c:pt>
                <c:pt idx="2">
                  <c:v>2007</c:v>
                </c:pt>
                <c:pt idx="3">
                  <c:v>2006</c:v>
                </c:pt>
                <c:pt idx="4">
                  <c:v>2005</c:v>
                </c:pt>
              </c:numCache>
            </c:numRef>
          </c:cat>
          <c:val>
            <c:numRef>
              <c:f>'Ratio Analysis'!$B$179:$F$179</c:f>
              <c:numCache>
                <c:formatCode>_(* #,##0.00_);_(* \(#,##0.00\);_(* "-"??_);_(@_)</c:formatCode>
                <c:ptCount val="5"/>
                <c:pt idx="0">
                  <c:v>146.82726204465371</c:v>
                </c:pt>
                <c:pt idx="1">
                  <c:v>17.8920479786761</c:v>
                </c:pt>
                <c:pt idx="2">
                  <c:v>10.464581416743359</c:v>
                </c:pt>
                <c:pt idx="3">
                  <c:v>14.562458249833025</c:v>
                </c:pt>
                <c:pt idx="4">
                  <c:v>46.110325318246105</c:v>
                </c:pt>
              </c:numCache>
            </c:numRef>
          </c:val>
        </c:ser>
        <c:ser>
          <c:idx val="1"/>
          <c:order val="1"/>
          <c:tx>
            <c:strRef>
              <c:f>'Ratio Analysis'!$A$181</c:f>
              <c:strCache>
                <c:ptCount val="1"/>
                <c:pt idx="0">
                  <c:v>Olympic</c:v>
                </c:pt>
              </c:strCache>
            </c:strRef>
          </c:tx>
          <c:cat>
            <c:numRef>
              <c:f>'Ratio Analysis'!$B$168:$F$168</c:f>
              <c:numCache>
                <c:formatCode>General</c:formatCode>
                <c:ptCount val="5"/>
                <c:pt idx="0">
                  <c:v>2009</c:v>
                </c:pt>
                <c:pt idx="1">
                  <c:v>2008</c:v>
                </c:pt>
                <c:pt idx="2">
                  <c:v>2007</c:v>
                </c:pt>
                <c:pt idx="3">
                  <c:v>2006</c:v>
                </c:pt>
                <c:pt idx="4">
                  <c:v>2005</c:v>
                </c:pt>
              </c:numCache>
            </c:numRef>
          </c:cat>
          <c:val>
            <c:numRef>
              <c:f>'Ratio Analysis'!$B$184:$F$184</c:f>
              <c:numCache>
                <c:formatCode>0.00</c:formatCode>
                <c:ptCount val="5"/>
                <c:pt idx="0">
                  <c:v>23.512285649550435</c:v>
                </c:pt>
                <c:pt idx="1">
                  <c:v>5.8132915166114145</c:v>
                </c:pt>
                <c:pt idx="2">
                  <c:v>10.691198319069075</c:v>
                </c:pt>
                <c:pt idx="3">
                  <c:v>7.0612773406246934</c:v>
                </c:pt>
                <c:pt idx="4">
                  <c:v>8.8093600516551671</c:v>
                </c:pt>
              </c:numCache>
            </c:numRef>
          </c:val>
        </c:ser>
        <c:marker val="1"/>
        <c:axId val="130692608"/>
        <c:axId val="130694144"/>
      </c:lineChart>
      <c:catAx>
        <c:axId val="130692608"/>
        <c:scaling>
          <c:orientation val="minMax"/>
        </c:scaling>
        <c:axPos val="b"/>
        <c:numFmt formatCode="General" sourceLinked="1"/>
        <c:majorTickMark val="none"/>
        <c:tickLblPos val="nextTo"/>
        <c:crossAx val="130694144"/>
        <c:crosses val="autoZero"/>
        <c:auto val="1"/>
        <c:lblAlgn val="ctr"/>
        <c:lblOffset val="100"/>
      </c:catAx>
      <c:valAx>
        <c:axId val="130694144"/>
        <c:scaling>
          <c:orientation val="minMax"/>
        </c:scaling>
        <c:axPos val="l"/>
        <c:majorGridlines/>
        <c:numFmt formatCode="_(* #,##0.00_);_(* \(#,##0.00\);_(* &quot;-&quot;??_);_(@_)" sourceLinked="1"/>
        <c:majorTickMark val="none"/>
        <c:tickLblPos val="nextTo"/>
        <c:crossAx val="130692608"/>
        <c:crosses val="autoZero"/>
        <c:crossBetween val="between"/>
      </c:valAx>
      <c:dTable>
        <c:showHorzBorder val="1"/>
        <c:showVertBorder val="1"/>
        <c:showOutline val="1"/>
        <c:showKeys val="1"/>
      </c:dTable>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Market/Book (M/B) Ratio</a:t>
            </a:r>
          </a:p>
        </c:rich>
      </c:tx>
      <c:spPr>
        <a:noFill/>
        <a:ln w="25400">
          <a:noFill/>
        </a:ln>
      </c:spPr>
    </c:title>
    <c:plotArea>
      <c:layout/>
      <c:lineChart>
        <c:grouping val="standard"/>
        <c:ser>
          <c:idx val="0"/>
          <c:order val="0"/>
          <c:tx>
            <c:strRef>
              <c:f>'Ratio Analysis'!$A$202</c:f>
              <c:strCache>
                <c:ptCount val="1"/>
                <c:pt idx="0">
                  <c:v>BANGAS</c:v>
                </c:pt>
              </c:strCache>
            </c:strRef>
          </c:tx>
          <c:cat>
            <c:numRef>
              <c:f>'Ratio Analysis'!$B$194:$F$194</c:f>
              <c:numCache>
                <c:formatCode>General</c:formatCode>
                <c:ptCount val="5"/>
                <c:pt idx="0">
                  <c:v>2009</c:v>
                </c:pt>
                <c:pt idx="1">
                  <c:v>2008</c:v>
                </c:pt>
                <c:pt idx="2">
                  <c:v>2007</c:v>
                </c:pt>
                <c:pt idx="3">
                  <c:v>2006</c:v>
                </c:pt>
                <c:pt idx="4">
                  <c:v>2005</c:v>
                </c:pt>
              </c:numCache>
            </c:numRef>
          </c:cat>
          <c:val>
            <c:numRef>
              <c:f>'Ratio Analysis'!$B$205:$F$205</c:f>
              <c:numCache>
                <c:formatCode>_(* #,##0.00_);_(* \(#,##0.00\);_(* "-"??_);_(@_)</c:formatCode>
                <c:ptCount val="5"/>
                <c:pt idx="0">
                  <c:v>15.163834951456334</c:v>
                </c:pt>
                <c:pt idx="1">
                  <c:v>2.4741983044600073</c:v>
                </c:pt>
                <c:pt idx="2">
                  <c:v>1.4650953116950018</c:v>
                </c:pt>
                <c:pt idx="3">
                  <c:v>1.4876484236385981</c:v>
                </c:pt>
                <c:pt idx="4">
                  <c:v>2.2629459947244177</c:v>
                </c:pt>
              </c:numCache>
            </c:numRef>
          </c:val>
        </c:ser>
        <c:ser>
          <c:idx val="1"/>
          <c:order val="1"/>
          <c:tx>
            <c:strRef>
              <c:f>'Ratio Analysis'!$A$207</c:f>
              <c:strCache>
                <c:ptCount val="1"/>
                <c:pt idx="0">
                  <c:v>Olympic</c:v>
                </c:pt>
              </c:strCache>
            </c:strRef>
          </c:tx>
          <c:val>
            <c:numRef>
              <c:f>'Ratio Analysis'!$B$210:$F$210</c:f>
              <c:numCache>
                <c:formatCode>0.00</c:formatCode>
                <c:ptCount val="5"/>
                <c:pt idx="0">
                  <c:v>1219.5159594325567</c:v>
                </c:pt>
                <c:pt idx="1">
                  <c:v>74.586155378485856</c:v>
                </c:pt>
                <c:pt idx="2">
                  <c:v>31.203319631290483</c:v>
                </c:pt>
                <c:pt idx="3">
                  <c:v>0.78805046281564428</c:v>
                </c:pt>
                <c:pt idx="4">
                  <c:v>0.68214402852134981</c:v>
                </c:pt>
              </c:numCache>
            </c:numRef>
          </c:val>
        </c:ser>
        <c:marker val="1"/>
        <c:axId val="130716416"/>
        <c:axId val="130717952"/>
      </c:lineChart>
      <c:catAx>
        <c:axId val="130716416"/>
        <c:scaling>
          <c:orientation val="minMax"/>
        </c:scaling>
        <c:axPos val="b"/>
        <c:numFmt formatCode="General" sourceLinked="1"/>
        <c:majorTickMark val="none"/>
        <c:tickLblPos val="nextTo"/>
        <c:crossAx val="130717952"/>
        <c:crosses val="autoZero"/>
        <c:auto val="1"/>
        <c:lblAlgn val="ctr"/>
        <c:lblOffset val="100"/>
      </c:catAx>
      <c:valAx>
        <c:axId val="130717952"/>
        <c:scaling>
          <c:orientation val="minMax"/>
        </c:scaling>
        <c:axPos val="l"/>
        <c:majorGridlines/>
        <c:numFmt formatCode="_(* #,##0.00_);_(* \(#,##0.00\);_(* &quot;-&quot;??_);_(@_)" sourceLinked="1"/>
        <c:majorTickMark val="none"/>
        <c:tickLblPos val="nextTo"/>
        <c:crossAx val="130716416"/>
        <c:crosses val="autoZero"/>
        <c:crossBetween val="between"/>
      </c:valAx>
      <c:dTable>
        <c:showHorzBorder val="1"/>
        <c:showVertBorder val="1"/>
        <c:showOutline val="1"/>
        <c:showKeys val="1"/>
      </c:dTable>
    </c:plotArea>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Stock Price</a:t>
            </a:r>
            <a:r>
              <a:rPr lang="en-US" baseline="0"/>
              <a:t> 2004-2009</a:t>
            </a:r>
            <a:endParaRPr lang="en-US"/>
          </a:p>
        </c:rich>
      </c:tx>
    </c:title>
    <c:plotArea>
      <c:layout/>
      <c:lineChart>
        <c:grouping val="standard"/>
        <c:ser>
          <c:idx val="0"/>
          <c:order val="0"/>
          <c:cat>
            <c:numRef>
              <c:f>dates!$J$70:$J$136</c:f>
              <c:numCache>
                <c:formatCode>[$-409]dd\-mmm\-yy;@</c:formatCode>
                <c:ptCount val="67"/>
                <c:pt idx="0">
                  <c:v>38168</c:v>
                </c:pt>
                <c:pt idx="1">
                  <c:v>38199</c:v>
                </c:pt>
                <c:pt idx="2">
                  <c:v>38230</c:v>
                </c:pt>
                <c:pt idx="3">
                  <c:v>38260</c:v>
                </c:pt>
                <c:pt idx="4">
                  <c:v>38288</c:v>
                </c:pt>
                <c:pt idx="5">
                  <c:v>38321</c:v>
                </c:pt>
                <c:pt idx="6">
                  <c:v>38351</c:v>
                </c:pt>
                <c:pt idx="7">
                  <c:v>38379</c:v>
                </c:pt>
                <c:pt idx="8">
                  <c:v>38411</c:v>
                </c:pt>
                <c:pt idx="9">
                  <c:v>38440</c:v>
                </c:pt>
                <c:pt idx="10">
                  <c:v>38472</c:v>
                </c:pt>
                <c:pt idx="11">
                  <c:v>38503</c:v>
                </c:pt>
                <c:pt idx="12">
                  <c:v>38532</c:v>
                </c:pt>
                <c:pt idx="13">
                  <c:v>38564</c:v>
                </c:pt>
                <c:pt idx="14">
                  <c:v>38595</c:v>
                </c:pt>
                <c:pt idx="15">
                  <c:v>38623</c:v>
                </c:pt>
                <c:pt idx="16">
                  <c:v>38656</c:v>
                </c:pt>
                <c:pt idx="17">
                  <c:v>38686</c:v>
                </c:pt>
                <c:pt idx="18">
                  <c:v>38715</c:v>
                </c:pt>
                <c:pt idx="19">
                  <c:v>38747</c:v>
                </c:pt>
                <c:pt idx="20">
                  <c:v>38776</c:v>
                </c:pt>
                <c:pt idx="21">
                  <c:v>38806</c:v>
                </c:pt>
                <c:pt idx="22">
                  <c:v>38837</c:v>
                </c:pt>
                <c:pt idx="23">
                  <c:v>38868</c:v>
                </c:pt>
                <c:pt idx="24">
                  <c:v>38897</c:v>
                </c:pt>
                <c:pt idx="25">
                  <c:v>38929</c:v>
                </c:pt>
                <c:pt idx="26">
                  <c:v>38960</c:v>
                </c:pt>
                <c:pt idx="27">
                  <c:v>38988</c:v>
                </c:pt>
                <c:pt idx="28">
                  <c:v>39012</c:v>
                </c:pt>
                <c:pt idx="29">
                  <c:v>39051</c:v>
                </c:pt>
                <c:pt idx="30">
                  <c:v>39079</c:v>
                </c:pt>
                <c:pt idx="31">
                  <c:v>39113</c:v>
                </c:pt>
                <c:pt idx="32">
                  <c:v>39141</c:v>
                </c:pt>
                <c:pt idx="33">
                  <c:v>39169</c:v>
                </c:pt>
                <c:pt idx="34">
                  <c:v>39202</c:v>
                </c:pt>
                <c:pt idx="35">
                  <c:v>39233</c:v>
                </c:pt>
                <c:pt idx="36">
                  <c:v>39261</c:v>
                </c:pt>
                <c:pt idx="37">
                  <c:v>39294</c:v>
                </c:pt>
                <c:pt idx="38">
                  <c:v>39323</c:v>
                </c:pt>
                <c:pt idx="39">
                  <c:v>39352</c:v>
                </c:pt>
                <c:pt idx="40">
                  <c:v>39386</c:v>
                </c:pt>
                <c:pt idx="41">
                  <c:v>39415</c:v>
                </c:pt>
                <c:pt idx="42">
                  <c:v>39446</c:v>
                </c:pt>
                <c:pt idx="43">
                  <c:v>39478</c:v>
                </c:pt>
                <c:pt idx="44">
                  <c:v>39506</c:v>
                </c:pt>
                <c:pt idx="45">
                  <c:v>39538</c:v>
                </c:pt>
                <c:pt idx="46">
                  <c:v>39568</c:v>
                </c:pt>
                <c:pt idx="47">
                  <c:v>39597</c:v>
                </c:pt>
                <c:pt idx="48">
                  <c:v>39629</c:v>
                </c:pt>
                <c:pt idx="49">
                  <c:v>39660</c:v>
                </c:pt>
                <c:pt idx="50">
                  <c:v>39691</c:v>
                </c:pt>
                <c:pt idx="51">
                  <c:v>39716</c:v>
                </c:pt>
                <c:pt idx="52">
                  <c:v>39751</c:v>
                </c:pt>
                <c:pt idx="53">
                  <c:v>39782</c:v>
                </c:pt>
                <c:pt idx="54">
                  <c:v>39812</c:v>
                </c:pt>
                <c:pt idx="55">
                  <c:v>39842</c:v>
                </c:pt>
                <c:pt idx="56">
                  <c:v>39870</c:v>
                </c:pt>
                <c:pt idx="57">
                  <c:v>39903</c:v>
                </c:pt>
                <c:pt idx="58">
                  <c:v>39933</c:v>
                </c:pt>
                <c:pt idx="59">
                  <c:v>39964</c:v>
                </c:pt>
                <c:pt idx="60">
                  <c:v>39989</c:v>
                </c:pt>
                <c:pt idx="61">
                  <c:v>40024</c:v>
                </c:pt>
                <c:pt idx="62">
                  <c:v>40056</c:v>
                </c:pt>
                <c:pt idx="63">
                  <c:v>40086</c:v>
                </c:pt>
                <c:pt idx="64">
                  <c:v>40107</c:v>
                </c:pt>
                <c:pt idx="65">
                  <c:v>40135</c:v>
                </c:pt>
                <c:pt idx="66">
                  <c:v>40171</c:v>
                </c:pt>
              </c:numCache>
            </c:numRef>
          </c:cat>
          <c:val>
            <c:numRef>
              <c:f>dates!$K$70:$K$136</c:f>
              <c:numCache>
                <c:formatCode>General</c:formatCode>
                <c:ptCount val="67"/>
                <c:pt idx="0">
                  <c:v>246.25</c:v>
                </c:pt>
                <c:pt idx="1">
                  <c:v>256.25</c:v>
                </c:pt>
                <c:pt idx="2">
                  <c:v>261</c:v>
                </c:pt>
                <c:pt idx="3">
                  <c:v>354.75</c:v>
                </c:pt>
                <c:pt idx="4">
                  <c:v>340</c:v>
                </c:pt>
                <c:pt idx="5">
                  <c:v>323</c:v>
                </c:pt>
                <c:pt idx="6">
                  <c:v>361.58</c:v>
                </c:pt>
                <c:pt idx="7">
                  <c:v>316</c:v>
                </c:pt>
                <c:pt idx="8">
                  <c:v>281.5</c:v>
                </c:pt>
                <c:pt idx="9">
                  <c:v>285</c:v>
                </c:pt>
                <c:pt idx="10">
                  <c:v>270</c:v>
                </c:pt>
                <c:pt idx="11">
                  <c:v>299.5</c:v>
                </c:pt>
                <c:pt idx="12">
                  <c:v>326</c:v>
                </c:pt>
                <c:pt idx="13">
                  <c:v>280</c:v>
                </c:pt>
                <c:pt idx="14">
                  <c:v>278.75</c:v>
                </c:pt>
                <c:pt idx="15">
                  <c:v>289.25</c:v>
                </c:pt>
                <c:pt idx="16">
                  <c:v>286</c:v>
                </c:pt>
                <c:pt idx="17">
                  <c:v>271</c:v>
                </c:pt>
                <c:pt idx="18">
                  <c:v>238.5</c:v>
                </c:pt>
                <c:pt idx="19">
                  <c:v>236</c:v>
                </c:pt>
                <c:pt idx="20">
                  <c:v>215</c:v>
                </c:pt>
                <c:pt idx="21">
                  <c:v>240</c:v>
                </c:pt>
                <c:pt idx="22">
                  <c:v>233.5</c:v>
                </c:pt>
                <c:pt idx="23">
                  <c:v>219</c:v>
                </c:pt>
                <c:pt idx="24">
                  <c:v>218</c:v>
                </c:pt>
                <c:pt idx="25">
                  <c:v>216.25</c:v>
                </c:pt>
                <c:pt idx="26">
                  <c:v>231.25</c:v>
                </c:pt>
                <c:pt idx="27">
                  <c:v>216.25</c:v>
                </c:pt>
                <c:pt idx="28">
                  <c:v>222</c:v>
                </c:pt>
                <c:pt idx="29">
                  <c:v>227.5</c:v>
                </c:pt>
                <c:pt idx="30">
                  <c:v>211</c:v>
                </c:pt>
                <c:pt idx="31">
                  <c:v>206.5</c:v>
                </c:pt>
                <c:pt idx="32">
                  <c:v>220</c:v>
                </c:pt>
                <c:pt idx="33">
                  <c:v>240</c:v>
                </c:pt>
                <c:pt idx="34">
                  <c:v>233</c:v>
                </c:pt>
                <c:pt idx="35">
                  <c:v>236</c:v>
                </c:pt>
                <c:pt idx="36">
                  <c:v>227.5</c:v>
                </c:pt>
                <c:pt idx="37">
                  <c:v>261</c:v>
                </c:pt>
                <c:pt idx="38">
                  <c:v>330.5</c:v>
                </c:pt>
                <c:pt idx="39">
                  <c:v>338</c:v>
                </c:pt>
                <c:pt idx="40">
                  <c:v>341.25</c:v>
                </c:pt>
                <c:pt idx="41">
                  <c:v>337</c:v>
                </c:pt>
                <c:pt idx="42">
                  <c:v>305.25</c:v>
                </c:pt>
                <c:pt idx="43">
                  <c:v>281.75</c:v>
                </c:pt>
                <c:pt idx="44">
                  <c:v>327.5</c:v>
                </c:pt>
                <c:pt idx="45">
                  <c:v>587</c:v>
                </c:pt>
                <c:pt idx="46">
                  <c:v>589</c:v>
                </c:pt>
                <c:pt idx="47">
                  <c:v>545.25</c:v>
                </c:pt>
                <c:pt idx="48">
                  <c:v>486</c:v>
                </c:pt>
                <c:pt idx="49">
                  <c:v>455</c:v>
                </c:pt>
                <c:pt idx="50">
                  <c:v>449.25</c:v>
                </c:pt>
                <c:pt idx="51">
                  <c:v>423.75</c:v>
                </c:pt>
                <c:pt idx="52">
                  <c:v>446.25</c:v>
                </c:pt>
                <c:pt idx="53">
                  <c:v>402.5</c:v>
                </c:pt>
                <c:pt idx="54">
                  <c:v>402.75</c:v>
                </c:pt>
                <c:pt idx="55">
                  <c:v>421.25</c:v>
                </c:pt>
                <c:pt idx="56">
                  <c:v>816.25</c:v>
                </c:pt>
                <c:pt idx="57">
                  <c:v>888.25</c:v>
                </c:pt>
                <c:pt idx="58">
                  <c:v>1229.25</c:v>
                </c:pt>
                <c:pt idx="59">
                  <c:v>1316.75</c:v>
                </c:pt>
                <c:pt idx="60">
                  <c:v>1669.75</c:v>
                </c:pt>
                <c:pt idx="61">
                  <c:v>1886</c:v>
                </c:pt>
                <c:pt idx="62">
                  <c:v>2150.75</c:v>
                </c:pt>
                <c:pt idx="63">
                  <c:v>2686</c:v>
                </c:pt>
                <c:pt idx="64">
                  <c:v>3199</c:v>
                </c:pt>
                <c:pt idx="65">
                  <c:v>1799</c:v>
                </c:pt>
                <c:pt idx="66">
                  <c:v>2499</c:v>
                </c:pt>
              </c:numCache>
            </c:numRef>
          </c:val>
        </c:ser>
        <c:marker val="1"/>
        <c:axId val="130739200"/>
        <c:axId val="130630400"/>
      </c:lineChart>
      <c:dateAx>
        <c:axId val="130739200"/>
        <c:scaling>
          <c:orientation val="minMax"/>
        </c:scaling>
        <c:axPos val="b"/>
        <c:numFmt formatCode="[$-409]dd\-mmm\-yy;@" sourceLinked="1"/>
        <c:majorTickMark val="none"/>
        <c:tickLblPos val="nextTo"/>
        <c:crossAx val="130630400"/>
        <c:crosses val="autoZero"/>
        <c:auto val="1"/>
        <c:lblOffset val="100"/>
      </c:dateAx>
      <c:valAx>
        <c:axId val="130630400"/>
        <c:scaling>
          <c:orientation val="minMax"/>
        </c:scaling>
        <c:axPos val="l"/>
        <c:majorGridlines/>
        <c:title>
          <c:tx>
            <c:rich>
              <a:bodyPr/>
              <a:lstStyle/>
              <a:p>
                <a:pPr>
                  <a:defRPr/>
                </a:pPr>
                <a:r>
                  <a:rPr lang="en-US"/>
                  <a:t>Taka</a:t>
                </a:r>
              </a:p>
            </c:rich>
          </c:tx>
        </c:title>
        <c:numFmt formatCode="General" sourceLinked="1"/>
        <c:majorTickMark val="none"/>
        <c:tickLblPos val="nextTo"/>
        <c:crossAx val="130739200"/>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style val="31"/>
  <c:chart>
    <c:title>
      <c:tx>
        <c:rich>
          <a:bodyPr/>
          <a:lstStyle/>
          <a:p>
            <a:pPr>
              <a:defRPr/>
            </a:pPr>
            <a:r>
              <a:rPr lang="en-US"/>
              <a:t>Share Price in Different Scenerio</a:t>
            </a:r>
          </a:p>
        </c:rich>
      </c:tx>
    </c:title>
    <c:plotArea>
      <c:layout/>
      <c:areaChart>
        <c:grouping val="standard"/>
        <c:ser>
          <c:idx val="1"/>
          <c:order val="1"/>
          <c:spPr>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5400000" scaled="1"/>
              <a:tileRect/>
            </a:gradFill>
          </c:spPr>
          <c:cat>
            <c:strRef>
              <c:f>CID!$D$38:$D$41</c:f>
              <c:strCache>
                <c:ptCount val="4"/>
                <c:pt idx="0">
                  <c:v>Expected</c:v>
                </c:pt>
                <c:pt idx="1">
                  <c:v> Pessimistic </c:v>
                </c:pt>
                <c:pt idx="2">
                  <c:v> Optimistic </c:v>
                </c:pt>
                <c:pt idx="3">
                  <c:v>Current</c:v>
                </c:pt>
              </c:strCache>
            </c:strRef>
          </c:cat>
          <c:val>
            <c:numRef>
              <c:f>CID!$E$38:$E$41</c:f>
              <c:numCache>
                <c:formatCode>General</c:formatCode>
                <c:ptCount val="4"/>
                <c:pt idx="0">
                  <c:v>1716.62</c:v>
                </c:pt>
                <c:pt idx="1">
                  <c:v>1700.98</c:v>
                </c:pt>
                <c:pt idx="2">
                  <c:v>1732.26</c:v>
                </c:pt>
                <c:pt idx="3">
                  <c:v>1669.75</c:v>
                </c:pt>
              </c:numCache>
            </c:numRef>
          </c:val>
        </c:ser>
        <c:ser>
          <c:idx val="2"/>
          <c:order val="2"/>
          <c:spPr>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5400000" scaled="1"/>
              <a:tileRect/>
            </a:gradFill>
          </c:spPr>
          <c:cat>
            <c:strRef>
              <c:f>CID!$D$38:$D$41</c:f>
              <c:strCache>
                <c:ptCount val="4"/>
                <c:pt idx="0">
                  <c:v>Expected</c:v>
                </c:pt>
                <c:pt idx="1">
                  <c:v> Pessimistic </c:v>
                </c:pt>
                <c:pt idx="2">
                  <c:v> Optimistic </c:v>
                </c:pt>
                <c:pt idx="3">
                  <c:v>Current</c:v>
                </c:pt>
              </c:strCache>
            </c:strRef>
          </c:cat>
          <c:val>
            <c:numRef>
              <c:f>CID!$E$38:$E$41</c:f>
              <c:numCache>
                <c:formatCode>General</c:formatCode>
                <c:ptCount val="4"/>
                <c:pt idx="0">
                  <c:v>1716.62</c:v>
                </c:pt>
                <c:pt idx="1">
                  <c:v>1700.98</c:v>
                </c:pt>
                <c:pt idx="2">
                  <c:v>1732.26</c:v>
                </c:pt>
                <c:pt idx="3">
                  <c:v>1669.75</c:v>
                </c:pt>
              </c:numCache>
            </c:numRef>
          </c:val>
        </c:ser>
        <c:ser>
          <c:idx val="0"/>
          <c:order val="0"/>
          <c:spPr>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5400000" scaled="1"/>
              <a:tileRect/>
            </a:gradFill>
          </c:spPr>
          <c:cat>
            <c:strRef>
              <c:f>CID!$D$38:$D$41</c:f>
              <c:strCache>
                <c:ptCount val="4"/>
                <c:pt idx="0">
                  <c:v>Expected</c:v>
                </c:pt>
                <c:pt idx="1">
                  <c:v> Pessimistic </c:v>
                </c:pt>
                <c:pt idx="2">
                  <c:v> Optimistic </c:v>
                </c:pt>
                <c:pt idx="3">
                  <c:v>Current</c:v>
                </c:pt>
              </c:strCache>
            </c:strRef>
          </c:cat>
          <c:val>
            <c:numRef>
              <c:f>CID!$E$38:$E$41</c:f>
              <c:numCache>
                <c:formatCode>General</c:formatCode>
                <c:ptCount val="4"/>
                <c:pt idx="0">
                  <c:v>1716.62</c:v>
                </c:pt>
                <c:pt idx="1">
                  <c:v>1700.98</c:v>
                </c:pt>
                <c:pt idx="2">
                  <c:v>1732.26</c:v>
                </c:pt>
                <c:pt idx="3">
                  <c:v>1669.75</c:v>
                </c:pt>
              </c:numCache>
            </c:numRef>
          </c:val>
        </c:ser>
        <c:dropLines/>
        <c:axId val="130668800"/>
        <c:axId val="124780928"/>
      </c:areaChart>
      <c:catAx>
        <c:axId val="130668800"/>
        <c:scaling>
          <c:orientation val="minMax"/>
        </c:scaling>
        <c:axPos val="b"/>
        <c:title>
          <c:tx>
            <c:rich>
              <a:bodyPr/>
              <a:lstStyle/>
              <a:p>
                <a:pPr>
                  <a:defRPr/>
                </a:pPr>
                <a:r>
                  <a:rPr lang="en-US"/>
                  <a:t>Scenerio</a:t>
                </a:r>
              </a:p>
            </c:rich>
          </c:tx>
        </c:title>
        <c:numFmt formatCode="General" sourceLinked="1"/>
        <c:majorTickMark val="none"/>
        <c:tickLblPos val="nextTo"/>
        <c:crossAx val="124780928"/>
        <c:crosses val="autoZero"/>
        <c:auto val="1"/>
        <c:lblAlgn val="ctr"/>
        <c:lblOffset val="100"/>
      </c:catAx>
      <c:valAx>
        <c:axId val="124780928"/>
        <c:scaling>
          <c:orientation val="minMax"/>
        </c:scaling>
        <c:axPos val="l"/>
        <c:majorGridlines/>
        <c:minorGridlines>
          <c:spPr>
            <a:ln w="9525" cap="flat" cmpd="sng" algn="ctr">
              <a:solidFill>
                <a:schemeClr val="dk1">
                  <a:shade val="95000"/>
                  <a:satMod val="105000"/>
                </a:schemeClr>
              </a:solidFill>
              <a:prstDash val="solid"/>
            </a:ln>
            <a:effectLst/>
          </c:spPr>
        </c:minorGridlines>
        <c:title>
          <c:tx>
            <c:rich>
              <a:bodyPr rot="0" vert="horz"/>
              <a:lstStyle/>
              <a:p>
                <a:pPr>
                  <a:defRPr/>
                </a:pPr>
                <a:r>
                  <a:rPr lang="en-US"/>
                  <a:t>PRICE</a:t>
                </a:r>
                <a:r>
                  <a:rPr lang="en-US" baseline="0"/>
                  <a:t> </a:t>
                </a:r>
                <a:endParaRPr lang="en-US"/>
              </a:p>
            </c:rich>
          </c:tx>
          <c:layout>
            <c:manualLayout>
              <c:xMode val="edge"/>
              <c:yMode val="edge"/>
              <c:x val="2.2222222222222251E-2"/>
              <c:y val="0.19256160688247351"/>
            </c:manualLayout>
          </c:layout>
        </c:title>
        <c:numFmt formatCode="General" sourceLinked="1"/>
        <c:majorTickMark val="none"/>
        <c:tickLblPos val="nextTo"/>
        <c:crossAx val="130668800"/>
        <c:crosses val="autoZero"/>
        <c:crossBetween val="midCat"/>
        <c:dispUnits>
          <c:builtInUnit val="thousands"/>
          <c:dispUnitsLbl/>
        </c:dispUnits>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99" b="1" i="0" u="none" strike="noStrike" baseline="0">
                <a:solidFill>
                  <a:srgbClr val="000000"/>
                </a:solidFill>
                <a:latin typeface="Times New Roman"/>
                <a:ea typeface="Times New Roman"/>
                <a:cs typeface="Times New Roman"/>
              </a:defRPr>
            </a:pPr>
            <a:r>
              <a:rPr lang="en-US"/>
              <a:t>Balance Sheet of 2009</a:t>
            </a:r>
          </a:p>
        </c:rich>
      </c:tx>
      <c:layout>
        <c:manualLayout>
          <c:xMode val="edge"/>
          <c:yMode val="edge"/>
          <c:x val="0.37563451776649748"/>
          <c:y val="5.9925093632958823E-2"/>
        </c:manualLayout>
      </c:layout>
      <c:spPr>
        <a:gradFill rotWithShape="0">
          <a:gsLst>
            <a:gs pos="0">
              <a:srgbClr val="CCCCFF"/>
            </a:gs>
            <a:gs pos="100000">
              <a:srgbClr val="CCCCFF">
                <a:gamma/>
                <a:shade val="46275"/>
                <a:invGamma/>
              </a:srgbClr>
            </a:gs>
          </a:gsLst>
          <a:lin ang="5400000" scaled="1"/>
        </a:gradFill>
        <a:ln w="25382">
          <a:noFill/>
        </a:ln>
      </c:spPr>
    </c:title>
    <c:view3D>
      <c:rotX val="25"/>
      <c:hPercent val="50"/>
      <c:perspective val="0"/>
    </c:view3D>
    <c:plotArea>
      <c:layout>
        <c:manualLayout>
          <c:layoutTarget val="inner"/>
          <c:xMode val="edge"/>
          <c:yMode val="edge"/>
          <c:x val="0.36717428087986637"/>
          <c:y val="0.42696629213483289"/>
          <c:w val="0.26395939086294495"/>
          <c:h val="0.28464419475655428"/>
        </c:manualLayout>
      </c:layout>
      <c:pie3DChart>
        <c:varyColors val="1"/>
        <c:ser>
          <c:idx val="0"/>
          <c:order val="0"/>
          <c:tx>
            <c:strRef>
              <c:f>Sheet1!$A$2</c:f>
              <c:strCache>
                <c:ptCount val="1"/>
                <c:pt idx="0">
                  <c:v>2009</c:v>
                </c:pt>
              </c:strCache>
            </c:strRef>
          </c:tx>
          <c:spPr>
            <a:solidFill>
              <a:srgbClr val="9999FF"/>
            </a:solidFill>
            <a:ln w="25382">
              <a:noFill/>
            </a:ln>
          </c:spPr>
          <c:explosion val="25"/>
          <c:dPt>
            <c:idx val="1"/>
            <c:spPr>
              <a:solidFill>
                <a:srgbClr val="993366"/>
              </a:solidFill>
              <a:ln w="25382">
                <a:noFill/>
              </a:ln>
            </c:spPr>
          </c:dPt>
          <c:dPt>
            <c:idx val="2"/>
            <c:spPr>
              <a:solidFill>
                <a:srgbClr val="FFFFCC"/>
              </a:solidFill>
              <a:ln w="25382">
                <a:noFill/>
              </a:ln>
            </c:spPr>
          </c:dPt>
          <c:dPt>
            <c:idx val="3"/>
            <c:spPr>
              <a:solidFill>
                <a:srgbClr val="CCFFFF"/>
              </a:solidFill>
              <a:ln w="25382">
                <a:noFill/>
              </a:ln>
            </c:spPr>
          </c:dPt>
          <c:dLbls>
            <c:dLbl>
              <c:idx val="0"/>
              <c:layout>
                <c:manualLayout>
                  <c:x val="4.7265709855041541E-2"/>
                  <c:y val="-8.1769107626890575E-2"/>
                </c:manualLayout>
              </c:layout>
              <c:dLblPos val="bestFit"/>
              <c:showVal val="1"/>
              <c:showCatName val="1"/>
              <c:showPercent val="1"/>
            </c:dLbl>
            <c:dLbl>
              <c:idx val="1"/>
              <c:layout>
                <c:manualLayout>
                  <c:x val="6.8036334896272366E-2"/>
                  <c:y val="6.1119390098320313E-2"/>
                </c:manualLayout>
              </c:layout>
              <c:dLblPos val="bestFit"/>
              <c:showVal val="1"/>
              <c:showCatName val="1"/>
              <c:showPercent val="1"/>
            </c:dLbl>
            <c:dLbl>
              <c:idx val="2"/>
              <c:layout>
                <c:manualLayout>
                  <c:x val="-7.9107616946867187E-2"/>
                  <c:y val="0.12598727348631394"/>
                </c:manualLayout>
              </c:layout>
              <c:dLblPos val="bestFit"/>
              <c:showVal val="1"/>
              <c:showCatName val="1"/>
              <c:showPercent val="1"/>
            </c:dLbl>
            <c:dLbl>
              <c:idx val="3"/>
              <c:layout>
                <c:manualLayout>
                  <c:x val="-0.11164364944260878"/>
                  <c:y val="2.5877360981628795E-3"/>
                </c:manualLayout>
              </c:layout>
              <c:dLblPos val="bestFit"/>
              <c:showVal val="1"/>
              <c:showCatName val="1"/>
              <c:showPercent val="1"/>
            </c:dLbl>
            <c:numFmt formatCode="0%" sourceLinked="0"/>
            <c:spPr>
              <a:gradFill rotWithShape="0">
                <a:gsLst>
                  <a:gs pos="0">
                    <a:srgbClr val="C0C0C0">
                      <a:gamma/>
                      <a:shade val="69804"/>
                      <a:invGamma/>
                    </a:srgbClr>
                  </a:gs>
                  <a:gs pos="100000">
                    <a:srgbClr val="C0C0C0"/>
                  </a:gs>
                </a:gsLst>
                <a:lin ang="2700000" scaled="1"/>
              </a:gradFill>
              <a:ln w="25382">
                <a:noFill/>
              </a:ln>
            </c:spPr>
            <c:txPr>
              <a:bodyPr/>
              <a:lstStyle/>
              <a:p>
                <a:pPr>
                  <a:defRPr sz="1174" b="0" i="0" u="none" strike="noStrike" baseline="0">
                    <a:solidFill>
                      <a:srgbClr val="000000"/>
                    </a:solidFill>
                    <a:latin typeface="Times New Roman"/>
                    <a:ea typeface="Times New Roman"/>
                    <a:cs typeface="Times New Roman"/>
                  </a:defRPr>
                </a:pPr>
                <a:endParaRPr lang="en-US"/>
              </a:p>
            </c:txPr>
            <c:dLblPos val="outEnd"/>
            <c:showVal val="1"/>
            <c:showCatName val="1"/>
            <c:showPercent val="1"/>
            <c:showLeaderLines val="1"/>
          </c:dLbls>
          <c:cat>
            <c:strRef>
              <c:f>Sheet1!$B$1:$E$1</c:f>
              <c:strCache>
                <c:ptCount val="4"/>
                <c:pt idx="0">
                  <c:v>Current Assets</c:v>
                </c:pt>
                <c:pt idx="1">
                  <c:v>Fixed Assets</c:v>
                </c:pt>
                <c:pt idx="2">
                  <c:v>Liabilities</c:v>
                </c:pt>
                <c:pt idx="3">
                  <c:v>Equities</c:v>
                </c:pt>
              </c:strCache>
            </c:strRef>
          </c:cat>
          <c:val>
            <c:numRef>
              <c:f>Sheet1!$B$2:$E$2</c:f>
              <c:numCache>
                <c:formatCode>General</c:formatCode>
                <c:ptCount val="4"/>
                <c:pt idx="0">
                  <c:v>55890736</c:v>
                </c:pt>
                <c:pt idx="1">
                  <c:v>27592680</c:v>
                </c:pt>
                <c:pt idx="2">
                  <c:v>68651235</c:v>
                </c:pt>
                <c:pt idx="3">
                  <c:v>14832181</c:v>
                </c:pt>
              </c:numCache>
            </c:numRef>
          </c:val>
        </c:ser>
        <c:dLbls>
          <c:showVal val="1"/>
          <c:showCatName val="1"/>
          <c:showPercent val="1"/>
        </c:dLbls>
      </c:pie3DChart>
      <c:spPr>
        <a:noFill/>
        <a:ln w="25382">
          <a:noFill/>
        </a:ln>
      </c:spPr>
    </c:plotArea>
    <c:plotVisOnly val="1"/>
    <c:dispBlanksAs val="zero"/>
  </c:chart>
  <c:spPr>
    <a:gradFill rotWithShape="0">
      <a:gsLst>
        <a:gs pos="0">
          <a:srgbClr val="C0C0C0">
            <a:gamma/>
            <a:shade val="46275"/>
            <a:invGamma/>
          </a:srgbClr>
        </a:gs>
        <a:gs pos="100000">
          <a:srgbClr val="C0C0C0"/>
        </a:gs>
      </a:gsLst>
      <a:lin ang="2700000" scaled="1"/>
    </a:gradFill>
    <a:ln w="3173">
      <a:solidFill>
        <a:srgbClr val="000000"/>
      </a:solidFill>
      <a:prstDash val="solid"/>
    </a:ln>
  </c:spPr>
  <c:txPr>
    <a:bodyPr/>
    <a:lstStyle/>
    <a:p>
      <a:pPr>
        <a:defRPr sz="974" b="0" i="0" u="none" strike="noStrike" baseline="0">
          <a:solidFill>
            <a:srgbClr val="000000"/>
          </a:solidFill>
          <a:latin typeface="Times New Roman"/>
          <a:ea typeface="Times New Roman"/>
          <a:cs typeface="Times New Roman"/>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Share</a:t>
            </a:r>
            <a:r>
              <a:rPr lang="en-US" baseline="0"/>
              <a:t> Price Projection Under Different Growth Rate</a:t>
            </a:r>
            <a:endParaRPr lang="en-US"/>
          </a:p>
        </c:rich>
      </c:tx>
    </c:title>
    <c:plotArea>
      <c:layout/>
      <c:lineChart>
        <c:grouping val="standard"/>
        <c:ser>
          <c:idx val="0"/>
          <c:order val="0"/>
          <c:tx>
            <c:strRef>
              <c:f>'Projected Price'!$A$3</c:f>
              <c:strCache>
                <c:ptCount val="1"/>
              </c:strCache>
            </c:strRef>
          </c:tx>
          <c:cat>
            <c:numRef>
              <c:f>'Projected Price'!$B$2:$K$2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'Projected Price'!$B$3:$K$3</c:f>
              <c:numCache>
                <c:formatCode>General</c:formatCode>
                <c:ptCount val="10"/>
                <c:pt idx="4">
                  <c:v>0</c:v>
                </c:pt>
                <c:pt idx="5">
                  <c:v>0</c:v>
                </c:pt>
                <c:pt idx="6">
                  <c:v>0</c:v>
                </c:pt>
                <c:pt idx="7">
                  <c:v>0</c:v>
                </c:pt>
                <c:pt idx="8">
                  <c:v>0</c:v>
                </c:pt>
                <c:pt idx="9">
                  <c:v>0</c:v>
                </c:pt>
              </c:numCache>
            </c:numRef>
          </c:val>
        </c:ser>
        <c:ser>
          <c:idx val="1"/>
          <c:order val="1"/>
          <c:tx>
            <c:strRef>
              <c:f>'Projected Price'!$A$4</c:f>
              <c:strCache>
                <c:ptCount val="1"/>
                <c:pt idx="0">
                  <c:v>GDP (6.2%)</c:v>
                </c:pt>
              </c:strCache>
            </c:strRef>
          </c:tx>
          <c:cat>
            <c:numRef>
              <c:f>'Projected Price'!$B$2:$K$2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'Projected Price'!$B$4:$K$4</c:f>
              <c:numCache>
                <c:formatCode>0.00</c:formatCode>
                <c:ptCount val="10"/>
                <c:pt idx="0">
                  <c:v>326</c:v>
                </c:pt>
                <c:pt idx="1">
                  <c:v>218</c:v>
                </c:pt>
                <c:pt idx="2">
                  <c:v>227.5</c:v>
                </c:pt>
                <c:pt idx="3">
                  <c:v>486</c:v>
                </c:pt>
                <c:pt idx="4">
                  <c:v>1669.75</c:v>
                </c:pt>
                <c:pt idx="5">
                  <c:v>2653.9380000000001</c:v>
                </c:pt>
                <c:pt idx="6">
                  <c:v>2818.48215600001</c:v>
                </c:pt>
                <c:pt idx="7">
                  <c:v>2993.2280496719909</c:v>
                </c:pt>
                <c:pt idx="8">
                  <c:v>3178.8081887516637</c:v>
                </c:pt>
                <c:pt idx="9">
                  <c:v>3375.8942964542671</c:v>
                </c:pt>
              </c:numCache>
            </c:numRef>
          </c:val>
        </c:ser>
        <c:ser>
          <c:idx val="2"/>
          <c:order val="2"/>
          <c:tx>
            <c:strRef>
              <c:f>'Projected Price'!$A$5</c:f>
              <c:strCache>
                <c:ptCount val="1"/>
                <c:pt idx="0">
                  <c:v>Normal Sales Growth Rate (7.4%)</c:v>
                </c:pt>
              </c:strCache>
            </c:strRef>
          </c:tx>
          <c:cat>
            <c:numRef>
              <c:f>'Projected Price'!$B$2:$K$2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'Projected Price'!$B$5:$K$5</c:f>
              <c:numCache>
                <c:formatCode>0.00</c:formatCode>
                <c:ptCount val="10"/>
                <c:pt idx="0">
                  <c:v>326</c:v>
                </c:pt>
                <c:pt idx="1">
                  <c:v>218</c:v>
                </c:pt>
                <c:pt idx="2">
                  <c:v>227.5</c:v>
                </c:pt>
                <c:pt idx="3">
                  <c:v>486</c:v>
                </c:pt>
                <c:pt idx="4">
                  <c:v>1669.75</c:v>
                </c:pt>
                <c:pt idx="5">
                  <c:v>2683.9259999999999</c:v>
                </c:pt>
                <c:pt idx="6">
                  <c:v>2882.5365240000001</c:v>
                </c:pt>
                <c:pt idx="7">
                  <c:v>3095.8442267760001</c:v>
                </c:pt>
                <c:pt idx="8">
                  <c:v>3324.9366995574242</c:v>
                </c:pt>
                <c:pt idx="9">
                  <c:v>3570.9820153246733</c:v>
                </c:pt>
              </c:numCache>
            </c:numRef>
          </c:val>
        </c:ser>
        <c:ser>
          <c:idx val="3"/>
          <c:order val="3"/>
          <c:tx>
            <c:strRef>
              <c:f>'Projected Price'!$A$6</c:f>
              <c:strCache>
                <c:ptCount val="1"/>
                <c:pt idx="0">
                  <c:v>Average Sales Growth Rate (6.8%)</c:v>
                </c:pt>
              </c:strCache>
            </c:strRef>
          </c:tx>
          <c:cat>
            <c:numRef>
              <c:f>'Projected Price'!$B$2:$K$2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'Projected Price'!$B$6:$K$6</c:f>
              <c:numCache>
                <c:formatCode>0.00</c:formatCode>
                <c:ptCount val="10"/>
                <c:pt idx="0">
                  <c:v>326</c:v>
                </c:pt>
                <c:pt idx="1">
                  <c:v>218</c:v>
                </c:pt>
                <c:pt idx="2">
                  <c:v>227.5</c:v>
                </c:pt>
                <c:pt idx="3">
                  <c:v>486</c:v>
                </c:pt>
                <c:pt idx="4">
                  <c:v>1669.75</c:v>
                </c:pt>
                <c:pt idx="5">
                  <c:v>2668.9320000000002</c:v>
                </c:pt>
                <c:pt idx="6">
                  <c:v>2850.4193760000148</c:v>
                </c:pt>
                <c:pt idx="7">
                  <c:v>3044.2478935679997</c:v>
                </c:pt>
                <c:pt idx="8">
                  <c:v>3251.2567503306241</c:v>
                </c:pt>
                <c:pt idx="9">
                  <c:v>3472.3422093531067</c:v>
                </c:pt>
              </c:numCache>
            </c:numRef>
          </c:val>
        </c:ser>
        <c:ser>
          <c:idx val="4"/>
          <c:order val="4"/>
          <c:tx>
            <c:strRef>
              <c:f>'Projected Price'!$A$7</c:f>
              <c:strCache>
                <c:ptCount val="1"/>
                <c:pt idx="0">
                  <c:v>Optimistic Growth Rate : 15%</c:v>
                </c:pt>
              </c:strCache>
            </c:strRef>
          </c:tx>
          <c:cat>
            <c:numRef>
              <c:f>'Projected Price'!$B$2:$K$2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'Projected Price'!$B$7:$K$7</c:f>
              <c:numCache>
                <c:formatCode>0.00</c:formatCode>
                <c:ptCount val="10"/>
                <c:pt idx="0">
                  <c:v>326</c:v>
                </c:pt>
                <c:pt idx="1">
                  <c:v>218</c:v>
                </c:pt>
                <c:pt idx="2">
                  <c:v>227.5</c:v>
                </c:pt>
                <c:pt idx="3">
                  <c:v>486</c:v>
                </c:pt>
                <c:pt idx="4">
                  <c:v>1669.75</c:v>
                </c:pt>
                <c:pt idx="5">
                  <c:v>2873.8500000000022</c:v>
                </c:pt>
                <c:pt idx="6">
                  <c:v>3304.9275000000002</c:v>
                </c:pt>
                <c:pt idx="7">
                  <c:v>3800.6666249999894</c:v>
                </c:pt>
                <c:pt idx="8">
                  <c:v>4370.7666187500054</c:v>
                </c:pt>
                <c:pt idx="9">
                  <c:v>5026.3816115625223</c:v>
                </c:pt>
              </c:numCache>
            </c:numRef>
          </c:val>
        </c:ser>
        <c:ser>
          <c:idx val="5"/>
          <c:order val="5"/>
          <c:tx>
            <c:strRef>
              <c:f>'Projected Price'!$A$8</c:f>
              <c:strCache>
                <c:ptCount val="1"/>
                <c:pt idx="0">
                  <c:v>Pessimistic Growth Rate : 3%</c:v>
                </c:pt>
              </c:strCache>
            </c:strRef>
          </c:tx>
          <c:cat>
            <c:numRef>
              <c:f>'Projected Price'!$B$2:$K$2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'Projected Price'!$B$8:$K$8</c:f>
              <c:numCache>
                <c:formatCode>0.00</c:formatCode>
                <c:ptCount val="10"/>
                <c:pt idx="0">
                  <c:v>326</c:v>
                </c:pt>
                <c:pt idx="1">
                  <c:v>218</c:v>
                </c:pt>
                <c:pt idx="2">
                  <c:v>227.5</c:v>
                </c:pt>
                <c:pt idx="3">
                  <c:v>486</c:v>
                </c:pt>
                <c:pt idx="4">
                  <c:v>1669.75</c:v>
                </c:pt>
                <c:pt idx="5">
                  <c:v>2573.9699999999998</c:v>
                </c:pt>
                <c:pt idx="6">
                  <c:v>2651.1891000000001</c:v>
                </c:pt>
                <c:pt idx="7">
                  <c:v>2730.7247729999999</c:v>
                </c:pt>
                <c:pt idx="8">
                  <c:v>2812.6465161899996</c:v>
                </c:pt>
                <c:pt idx="9">
                  <c:v>2897.0259116757002</c:v>
                </c:pt>
              </c:numCache>
            </c:numRef>
          </c:val>
        </c:ser>
        <c:marker val="1"/>
        <c:axId val="124821888"/>
        <c:axId val="124823424"/>
      </c:lineChart>
      <c:catAx>
        <c:axId val="124821888"/>
        <c:scaling>
          <c:orientation val="minMax"/>
        </c:scaling>
        <c:axPos val="b"/>
        <c:numFmt formatCode="General" sourceLinked="1"/>
        <c:majorTickMark val="none"/>
        <c:tickLblPos val="nextTo"/>
        <c:crossAx val="124823424"/>
        <c:crosses val="autoZero"/>
        <c:auto val="1"/>
        <c:lblAlgn val="ctr"/>
        <c:lblOffset val="100"/>
      </c:catAx>
      <c:valAx>
        <c:axId val="124823424"/>
        <c:scaling>
          <c:orientation val="minMax"/>
        </c:scaling>
        <c:axPos val="l"/>
        <c:majorGridlines/>
        <c:numFmt formatCode="General" sourceLinked="1"/>
        <c:majorTickMark val="none"/>
        <c:tickLblPos val="nextTo"/>
        <c:crossAx val="124821888"/>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1" b="1" i="0" u="none" strike="noStrike" baseline="0">
                <a:solidFill>
                  <a:srgbClr val="000000"/>
                </a:solidFill>
                <a:latin typeface="Times New Roman"/>
                <a:ea typeface="Times New Roman"/>
                <a:cs typeface="Times New Roman"/>
              </a:defRPr>
            </a:pPr>
            <a:r>
              <a:rPr lang="en-US"/>
              <a:t>Reconstructed Balance Sheet for 2009</a:t>
            </a:r>
          </a:p>
        </c:rich>
      </c:tx>
      <c:layout>
        <c:manualLayout>
          <c:xMode val="edge"/>
          <c:yMode val="edge"/>
          <c:x val="0.19861830742659795"/>
          <c:y val="2.0958083832335262E-2"/>
        </c:manualLayout>
      </c:layout>
      <c:spPr>
        <a:gradFill rotWithShape="0">
          <a:gsLst>
            <a:gs pos="0">
              <a:srgbClr val="CCCCFF"/>
            </a:gs>
            <a:gs pos="100000">
              <a:srgbClr val="CCCCFF">
                <a:gamma/>
                <a:shade val="46275"/>
                <a:invGamma/>
              </a:srgbClr>
            </a:gs>
          </a:gsLst>
          <a:lin ang="5400000" scaled="1"/>
        </a:gradFill>
        <a:ln w="25410">
          <a:noFill/>
        </a:ln>
      </c:spPr>
    </c:title>
    <c:view3D>
      <c:rotX val="25"/>
      <c:hPercent val="50"/>
      <c:perspective val="0"/>
    </c:view3D>
    <c:plotArea>
      <c:layout>
        <c:manualLayout>
          <c:layoutTarget val="inner"/>
          <c:xMode val="edge"/>
          <c:yMode val="edge"/>
          <c:x val="0.35405872193437077"/>
          <c:y val="0.45209580838323354"/>
          <c:w val="0.29188255613126157"/>
          <c:h val="0.24550898203592875"/>
        </c:manualLayout>
      </c:layout>
      <c:pie3DChart>
        <c:varyColors val="1"/>
        <c:ser>
          <c:idx val="0"/>
          <c:order val="0"/>
          <c:tx>
            <c:strRef>
              <c:f>Sheet1!$A$2</c:f>
              <c:strCache>
                <c:ptCount val="1"/>
                <c:pt idx="0">
                  <c:v>2009</c:v>
                </c:pt>
              </c:strCache>
            </c:strRef>
          </c:tx>
          <c:spPr>
            <a:solidFill>
              <a:srgbClr val="9999FF"/>
            </a:solidFill>
            <a:ln w="25410">
              <a:noFill/>
            </a:ln>
          </c:spPr>
          <c:explosion val="25"/>
          <c:dPt>
            <c:idx val="1"/>
            <c:spPr>
              <a:solidFill>
                <a:srgbClr val="993366"/>
              </a:solidFill>
              <a:ln w="25410">
                <a:noFill/>
              </a:ln>
            </c:spPr>
          </c:dPt>
          <c:dPt>
            <c:idx val="2"/>
            <c:spPr>
              <a:solidFill>
                <a:srgbClr val="FFFFCC"/>
              </a:solidFill>
              <a:ln w="25410">
                <a:noFill/>
              </a:ln>
            </c:spPr>
          </c:dPt>
          <c:dPt>
            <c:idx val="3"/>
            <c:spPr>
              <a:solidFill>
                <a:srgbClr val="CCFFFF"/>
              </a:solidFill>
              <a:ln w="25410">
                <a:noFill/>
              </a:ln>
            </c:spPr>
          </c:dPt>
          <c:dPt>
            <c:idx val="4"/>
            <c:spPr>
              <a:solidFill>
                <a:srgbClr val="660066"/>
              </a:solidFill>
              <a:ln w="25410">
                <a:noFill/>
              </a:ln>
            </c:spPr>
          </c:dPt>
          <c:dLbls>
            <c:dLbl>
              <c:idx val="0"/>
              <c:layout>
                <c:manualLayout>
                  <c:x val="-5.2905229791596071E-2"/>
                  <c:y val="-0.20003891456532119"/>
                </c:manualLayout>
              </c:layout>
              <c:dLblPos val="bestFit"/>
              <c:showLegendKey val="1"/>
              <c:showVal val="1"/>
              <c:showCatName val="1"/>
              <c:showPercent val="1"/>
            </c:dLbl>
            <c:dLbl>
              <c:idx val="1"/>
              <c:layout>
                <c:manualLayout>
                  <c:x val="0.11363123929473128"/>
                  <c:y val="6.5733134828018685E-4"/>
                </c:manualLayout>
              </c:layout>
              <c:dLblPos val="bestFit"/>
              <c:showLegendKey val="1"/>
              <c:showVal val="1"/>
              <c:showCatName val="1"/>
              <c:showPercent val="1"/>
            </c:dLbl>
            <c:dLbl>
              <c:idx val="2"/>
              <c:layout>
                <c:manualLayout>
                  <c:x val="6.5806656688511433E-2"/>
                  <c:y val="0.15732270750015503"/>
                </c:manualLayout>
              </c:layout>
              <c:dLblPos val="bestFit"/>
              <c:showLegendKey val="1"/>
              <c:showVal val="1"/>
              <c:showCatName val="1"/>
              <c:showPercent val="1"/>
            </c:dLbl>
            <c:dLbl>
              <c:idx val="3"/>
              <c:layout>
                <c:manualLayout>
                  <c:x val="-6.8370185705410091E-2"/>
                  <c:y val="8.4758049667458951E-2"/>
                </c:manualLayout>
              </c:layout>
              <c:dLblPos val="bestFit"/>
              <c:showLegendKey val="1"/>
              <c:showVal val="1"/>
              <c:showCatName val="1"/>
              <c:showPercent val="1"/>
            </c:dLbl>
            <c:dLbl>
              <c:idx val="4"/>
              <c:layout>
                <c:manualLayout>
                  <c:x val="-9.4104492756146019E-2"/>
                  <c:y val="-0.12362131469594433"/>
                </c:manualLayout>
              </c:layout>
              <c:dLblPos val="bestFit"/>
              <c:showLegendKey val="1"/>
              <c:showVal val="1"/>
              <c:showCatName val="1"/>
              <c:showPercent val="1"/>
            </c:dLbl>
            <c:numFmt formatCode="0%" sourceLinked="0"/>
            <c:spPr>
              <a:noFill/>
              <a:ln w="25410">
                <a:noFill/>
              </a:ln>
            </c:spPr>
            <c:txPr>
              <a:bodyPr/>
              <a:lstStyle/>
              <a:p>
                <a:pPr>
                  <a:defRPr sz="1200" b="0" i="0" u="none" strike="noStrike" baseline="0">
                    <a:solidFill>
                      <a:srgbClr val="000000"/>
                    </a:solidFill>
                    <a:latin typeface="Times New Roman"/>
                    <a:ea typeface="Times New Roman"/>
                    <a:cs typeface="Times New Roman"/>
                  </a:defRPr>
                </a:pPr>
                <a:endParaRPr lang="en-US"/>
              </a:p>
            </c:txPr>
            <c:dLblPos val="outEnd"/>
            <c:showLegendKey val="1"/>
            <c:showVal val="1"/>
            <c:showCatName val="1"/>
            <c:showPercent val="1"/>
            <c:showLeaderLines val="1"/>
          </c:dLbls>
          <c:cat>
            <c:strRef>
              <c:f>Sheet1!$B$1:$F$1</c:f>
              <c:strCache>
                <c:ptCount val="5"/>
                <c:pt idx="0">
                  <c:v>Current Assets</c:v>
                </c:pt>
                <c:pt idx="1">
                  <c:v>Fixed Assets</c:v>
                </c:pt>
                <c:pt idx="2">
                  <c:v>Good Will</c:v>
                </c:pt>
                <c:pt idx="3">
                  <c:v>Liabilities</c:v>
                </c:pt>
                <c:pt idx="4">
                  <c:v>Equities</c:v>
                </c:pt>
              </c:strCache>
            </c:strRef>
          </c:cat>
          <c:val>
            <c:numRef>
              <c:f>Sheet1!$B$2:$F$2</c:f>
              <c:numCache>
                <c:formatCode>General</c:formatCode>
                <c:ptCount val="5"/>
                <c:pt idx="0">
                  <c:v>55890736</c:v>
                </c:pt>
                <c:pt idx="1">
                  <c:v>40426075</c:v>
                </c:pt>
                <c:pt idx="2">
                  <c:v>184483925</c:v>
                </c:pt>
                <c:pt idx="3">
                  <c:v>68651235</c:v>
                </c:pt>
                <c:pt idx="4">
                  <c:v>149850000</c:v>
                </c:pt>
              </c:numCache>
            </c:numRef>
          </c:val>
        </c:ser>
        <c:dLbls>
          <c:showLegendKey val="1"/>
          <c:showVal val="1"/>
          <c:showCatName val="1"/>
          <c:showPercent val="1"/>
        </c:dLbls>
      </c:pie3DChart>
      <c:spPr>
        <a:noFill/>
        <a:ln w="25410">
          <a:noFill/>
        </a:ln>
      </c:spPr>
    </c:plotArea>
    <c:plotVisOnly val="1"/>
    <c:dispBlanksAs val="zero"/>
  </c:chart>
  <c:spPr>
    <a:gradFill rotWithShape="0">
      <a:gsLst>
        <a:gs pos="0">
          <a:srgbClr val="C0C0C0"/>
        </a:gs>
        <a:gs pos="100000">
          <a:srgbClr val="C0C0C0">
            <a:gamma/>
            <a:shade val="46275"/>
            <a:invGamma/>
          </a:srgbClr>
        </a:gs>
      </a:gsLst>
      <a:lin ang="2700000" scaled="1"/>
    </a:gradFill>
    <a:ln>
      <a:noFill/>
    </a:ln>
  </c:spPr>
  <c:txPr>
    <a:bodyPr/>
    <a:lstStyle/>
    <a:p>
      <a:pPr>
        <a:defRPr sz="1200" b="0" i="0" u="none" strike="noStrike" baseline="0">
          <a:solidFill>
            <a:srgbClr val="000000"/>
          </a:solidFill>
          <a:latin typeface="Times New Roman"/>
          <a:ea typeface="Times New Roman"/>
          <a:cs typeface="Times New Roman"/>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Current Ratio</a:t>
            </a:r>
          </a:p>
        </c:rich>
      </c:tx>
      <c:spPr>
        <a:noFill/>
        <a:ln w="25400">
          <a:noFill/>
        </a:ln>
      </c:spPr>
    </c:title>
    <c:plotArea>
      <c:layout/>
      <c:lineChart>
        <c:grouping val="standard"/>
        <c:ser>
          <c:idx val="0"/>
          <c:order val="0"/>
          <c:tx>
            <c:strRef>
              <c:f>'Ratio Analysis'!$A$9</c:f>
              <c:strCache>
                <c:ptCount val="1"/>
                <c:pt idx="0">
                  <c:v>BANGAS</c:v>
                </c:pt>
              </c:strCache>
            </c:strRef>
          </c:tx>
          <c:cat>
            <c:numRef>
              <c:f>'Ratio Analysis'!$B$9:$F$9</c:f>
              <c:numCache>
                <c:formatCode>General</c:formatCode>
                <c:ptCount val="5"/>
                <c:pt idx="0">
                  <c:v>2009</c:v>
                </c:pt>
                <c:pt idx="1">
                  <c:v>2008</c:v>
                </c:pt>
                <c:pt idx="2">
                  <c:v>2007</c:v>
                </c:pt>
                <c:pt idx="3">
                  <c:v>2006</c:v>
                </c:pt>
                <c:pt idx="4">
                  <c:v>2005</c:v>
                </c:pt>
              </c:numCache>
            </c:numRef>
          </c:cat>
          <c:val>
            <c:numRef>
              <c:f>'Ratio Analysis'!$B$12:$F$12</c:f>
              <c:numCache>
                <c:formatCode>0.00</c:formatCode>
                <c:ptCount val="5"/>
                <c:pt idx="0">
                  <c:v>1.0414224275350774</c:v>
                </c:pt>
                <c:pt idx="1">
                  <c:v>1.0581463884874618</c:v>
                </c:pt>
                <c:pt idx="2">
                  <c:v>1.068207675809612</c:v>
                </c:pt>
                <c:pt idx="3">
                  <c:v>1.0310776643540573</c:v>
                </c:pt>
                <c:pt idx="4">
                  <c:v>1.1510504535318904</c:v>
                </c:pt>
              </c:numCache>
            </c:numRef>
          </c:val>
        </c:ser>
        <c:ser>
          <c:idx val="1"/>
          <c:order val="1"/>
          <c:tx>
            <c:strRef>
              <c:f>'Ratio Analysis'!$A$14</c:f>
              <c:strCache>
                <c:ptCount val="1"/>
                <c:pt idx="0">
                  <c:v>Olympic</c:v>
                </c:pt>
              </c:strCache>
            </c:strRef>
          </c:tx>
          <c:cat>
            <c:numRef>
              <c:f>'Ratio Analysis'!$B$9:$F$9</c:f>
              <c:numCache>
                <c:formatCode>General</c:formatCode>
                <c:ptCount val="5"/>
                <c:pt idx="0">
                  <c:v>2009</c:v>
                </c:pt>
                <c:pt idx="1">
                  <c:v>2008</c:v>
                </c:pt>
                <c:pt idx="2">
                  <c:v>2007</c:v>
                </c:pt>
                <c:pt idx="3">
                  <c:v>2006</c:v>
                </c:pt>
                <c:pt idx="4">
                  <c:v>2005</c:v>
                </c:pt>
              </c:numCache>
            </c:numRef>
          </c:cat>
          <c:val>
            <c:numRef>
              <c:f>'Ratio Analysis'!$B$17:$F$17</c:f>
              <c:numCache>
                <c:formatCode>0.00</c:formatCode>
                <c:ptCount val="5"/>
                <c:pt idx="0">
                  <c:v>1.1046754664222962</c:v>
                </c:pt>
                <c:pt idx="1">
                  <c:v>1.5196882420683098</c:v>
                </c:pt>
                <c:pt idx="2">
                  <c:v>1.4577136779130466</c:v>
                </c:pt>
                <c:pt idx="3">
                  <c:v>1.4222783804424683</c:v>
                </c:pt>
                <c:pt idx="4">
                  <c:v>1.5786796190932899</c:v>
                </c:pt>
              </c:numCache>
            </c:numRef>
          </c:val>
        </c:ser>
        <c:marker val="1"/>
        <c:axId val="118635520"/>
        <c:axId val="84861696"/>
      </c:lineChart>
      <c:catAx>
        <c:axId val="118635520"/>
        <c:scaling>
          <c:orientation val="minMax"/>
        </c:scaling>
        <c:axPos val="b"/>
        <c:numFmt formatCode="General" sourceLinked="1"/>
        <c:majorTickMark val="none"/>
        <c:tickLblPos val="nextTo"/>
        <c:crossAx val="84861696"/>
        <c:crosses val="autoZero"/>
        <c:auto val="1"/>
        <c:lblAlgn val="ctr"/>
        <c:lblOffset val="100"/>
      </c:catAx>
      <c:valAx>
        <c:axId val="84861696"/>
        <c:scaling>
          <c:orientation val="minMax"/>
        </c:scaling>
        <c:axPos val="l"/>
        <c:majorGridlines/>
        <c:numFmt formatCode="0.00" sourceLinked="1"/>
        <c:majorTickMark val="none"/>
        <c:tickLblPos val="nextTo"/>
        <c:crossAx val="118635520"/>
        <c:crosses val="autoZero"/>
        <c:crossBetween val="between"/>
      </c:valAx>
      <c:dTable>
        <c:showHorzBorder val="1"/>
        <c:showVertBorder val="1"/>
        <c:showOutline val="1"/>
        <c:showKeys val="1"/>
      </c:dTable>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Quick Ratio</a:t>
            </a:r>
          </a:p>
        </c:rich>
      </c:tx>
      <c:spPr>
        <a:noFill/>
        <a:ln w="25400">
          <a:noFill/>
        </a:ln>
      </c:spPr>
    </c:title>
    <c:plotArea>
      <c:layout/>
      <c:lineChart>
        <c:grouping val="standard"/>
        <c:ser>
          <c:idx val="0"/>
          <c:order val="0"/>
          <c:tx>
            <c:strRef>
              <c:f>'Ratio Analysis'!$A$23</c:f>
              <c:strCache>
                <c:ptCount val="1"/>
                <c:pt idx="0">
                  <c:v>BANGAS</c:v>
                </c:pt>
              </c:strCache>
            </c:strRef>
          </c:tx>
          <c:cat>
            <c:numRef>
              <c:f>'Ratio Analysis'!$B$23:$F$23</c:f>
              <c:numCache>
                <c:formatCode>General</c:formatCode>
                <c:ptCount val="5"/>
                <c:pt idx="0">
                  <c:v>2009</c:v>
                </c:pt>
                <c:pt idx="1">
                  <c:v>2008</c:v>
                </c:pt>
                <c:pt idx="2">
                  <c:v>2007</c:v>
                </c:pt>
                <c:pt idx="3">
                  <c:v>2006</c:v>
                </c:pt>
                <c:pt idx="4">
                  <c:v>2005</c:v>
                </c:pt>
              </c:numCache>
            </c:numRef>
          </c:cat>
          <c:val>
            <c:numRef>
              <c:f>'Ratio Analysis'!$B$27:$F$27</c:f>
              <c:numCache>
                <c:formatCode>0.00</c:formatCode>
                <c:ptCount val="5"/>
                <c:pt idx="0">
                  <c:v>0.32625054292443068</c:v>
                </c:pt>
                <c:pt idx="1">
                  <c:v>0.29694178174680935</c:v>
                </c:pt>
                <c:pt idx="2">
                  <c:v>0.28621045779838411</c:v>
                </c:pt>
                <c:pt idx="3">
                  <c:v>0.29126448078403383</c:v>
                </c:pt>
                <c:pt idx="4">
                  <c:v>0.45570561048546709</c:v>
                </c:pt>
              </c:numCache>
            </c:numRef>
          </c:val>
        </c:ser>
        <c:ser>
          <c:idx val="1"/>
          <c:order val="1"/>
          <c:tx>
            <c:strRef>
              <c:f>'Ratio Analysis'!$A$29</c:f>
              <c:strCache>
                <c:ptCount val="1"/>
                <c:pt idx="0">
                  <c:v>Olympic</c:v>
                </c:pt>
              </c:strCache>
            </c:strRef>
          </c:tx>
          <c:cat>
            <c:numRef>
              <c:f>'Ratio Analysis'!$B$23:$F$23</c:f>
              <c:numCache>
                <c:formatCode>General</c:formatCode>
                <c:ptCount val="5"/>
                <c:pt idx="0">
                  <c:v>2009</c:v>
                </c:pt>
                <c:pt idx="1">
                  <c:v>2008</c:v>
                </c:pt>
                <c:pt idx="2">
                  <c:v>2007</c:v>
                </c:pt>
                <c:pt idx="3">
                  <c:v>2006</c:v>
                </c:pt>
                <c:pt idx="4">
                  <c:v>2005</c:v>
                </c:pt>
              </c:numCache>
            </c:numRef>
          </c:cat>
          <c:val>
            <c:numRef>
              <c:f>'Ratio Analysis'!$B$33:$F$33</c:f>
              <c:numCache>
                <c:formatCode>0.00</c:formatCode>
                <c:ptCount val="5"/>
                <c:pt idx="0">
                  <c:v>0.70255855393748889</c:v>
                </c:pt>
                <c:pt idx="1">
                  <c:v>0.96685240027011121</c:v>
                </c:pt>
                <c:pt idx="2">
                  <c:v>0.78562464000328291</c:v>
                </c:pt>
                <c:pt idx="3">
                  <c:v>0.69544982919317633</c:v>
                </c:pt>
                <c:pt idx="4">
                  <c:v>0.7898101426359605</c:v>
                </c:pt>
              </c:numCache>
            </c:numRef>
          </c:val>
        </c:ser>
        <c:marker val="1"/>
        <c:axId val="130406656"/>
        <c:axId val="130293760"/>
      </c:lineChart>
      <c:catAx>
        <c:axId val="130406656"/>
        <c:scaling>
          <c:orientation val="minMax"/>
        </c:scaling>
        <c:axPos val="b"/>
        <c:numFmt formatCode="General" sourceLinked="1"/>
        <c:majorTickMark val="none"/>
        <c:tickLblPos val="nextTo"/>
        <c:crossAx val="130293760"/>
        <c:crosses val="autoZero"/>
        <c:auto val="1"/>
        <c:lblAlgn val="ctr"/>
        <c:lblOffset val="100"/>
      </c:catAx>
      <c:valAx>
        <c:axId val="130293760"/>
        <c:scaling>
          <c:orientation val="minMax"/>
        </c:scaling>
        <c:axPos val="l"/>
        <c:majorGridlines/>
        <c:numFmt formatCode="0.00" sourceLinked="1"/>
        <c:majorTickMark val="none"/>
        <c:tickLblPos val="nextTo"/>
        <c:crossAx val="130406656"/>
        <c:crosses val="autoZero"/>
        <c:crossBetween val="between"/>
      </c:valAx>
      <c:dTable>
        <c:showHorzBorder val="1"/>
        <c:showVertBorder val="1"/>
        <c:showOutline val="1"/>
        <c:showKeys val="1"/>
      </c:dTable>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Inventory Turnover Ratio</a:t>
            </a:r>
          </a:p>
        </c:rich>
      </c:tx>
      <c:spPr>
        <a:noFill/>
        <a:ln w="25400">
          <a:noFill/>
        </a:ln>
      </c:spPr>
    </c:title>
    <c:plotArea>
      <c:layout/>
      <c:lineChart>
        <c:grouping val="standard"/>
        <c:ser>
          <c:idx val="0"/>
          <c:order val="0"/>
          <c:tx>
            <c:strRef>
              <c:f>'Ratio Analysis'!$A$83</c:f>
              <c:strCache>
                <c:ptCount val="1"/>
                <c:pt idx="0">
                  <c:v>BANGAS</c:v>
                </c:pt>
              </c:strCache>
            </c:strRef>
          </c:tx>
          <c:cat>
            <c:numRef>
              <c:f>'Ratio Analysis'!$B$83:$F$83</c:f>
              <c:numCache>
                <c:formatCode>General</c:formatCode>
                <c:ptCount val="5"/>
                <c:pt idx="0">
                  <c:v>2009</c:v>
                </c:pt>
                <c:pt idx="1">
                  <c:v>2008</c:v>
                </c:pt>
                <c:pt idx="2">
                  <c:v>2007</c:v>
                </c:pt>
                <c:pt idx="3">
                  <c:v>2006</c:v>
                </c:pt>
                <c:pt idx="4">
                  <c:v>2005</c:v>
                </c:pt>
              </c:numCache>
            </c:numRef>
          </c:cat>
          <c:val>
            <c:numRef>
              <c:f>'Ratio Analysis'!$B$86:$F$86</c:f>
              <c:numCache>
                <c:formatCode>0.00</c:formatCode>
                <c:ptCount val="5"/>
                <c:pt idx="0">
                  <c:v>2.2956473987564312</c:v>
                </c:pt>
                <c:pt idx="1">
                  <c:v>2.6190363011983275</c:v>
                </c:pt>
                <c:pt idx="2">
                  <c:v>2.8593233403174452</c:v>
                </c:pt>
                <c:pt idx="3">
                  <c:v>2.3676281414433697</c:v>
                </c:pt>
                <c:pt idx="4">
                  <c:v>2.5452210254256</c:v>
                </c:pt>
              </c:numCache>
            </c:numRef>
          </c:val>
        </c:ser>
        <c:ser>
          <c:idx val="1"/>
          <c:order val="1"/>
          <c:tx>
            <c:strRef>
              <c:f>'Ratio Analysis'!$A$88</c:f>
              <c:strCache>
                <c:ptCount val="1"/>
                <c:pt idx="0">
                  <c:v>Olympic</c:v>
                </c:pt>
              </c:strCache>
            </c:strRef>
          </c:tx>
          <c:cat>
            <c:numRef>
              <c:f>'Ratio Analysis'!$B$83:$F$83</c:f>
              <c:numCache>
                <c:formatCode>General</c:formatCode>
                <c:ptCount val="5"/>
                <c:pt idx="0">
                  <c:v>2009</c:v>
                </c:pt>
                <c:pt idx="1">
                  <c:v>2008</c:v>
                </c:pt>
                <c:pt idx="2">
                  <c:v>2007</c:v>
                </c:pt>
                <c:pt idx="3">
                  <c:v>2006</c:v>
                </c:pt>
                <c:pt idx="4">
                  <c:v>2005</c:v>
                </c:pt>
              </c:numCache>
            </c:numRef>
          </c:cat>
          <c:val>
            <c:numRef>
              <c:f>'Ratio Analysis'!$B$91:$F$91</c:f>
              <c:numCache>
                <c:formatCode>0.00</c:formatCode>
                <c:ptCount val="5"/>
                <c:pt idx="0">
                  <c:v>8.0193007626769539</c:v>
                </c:pt>
                <c:pt idx="1">
                  <c:v>6.5377030587018083</c:v>
                </c:pt>
                <c:pt idx="2">
                  <c:v>4.4544828330189841</c:v>
                </c:pt>
                <c:pt idx="3">
                  <c:v>4.1113913450942334</c:v>
                </c:pt>
                <c:pt idx="4">
                  <c:v>2.5904368443901808</c:v>
                </c:pt>
              </c:numCache>
            </c:numRef>
          </c:val>
        </c:ser>
        <c:marker val="1"/>
        <c:axId val="130319872"/>
        <c:axId val="130321408"/>
      </c:lineChart>
      <c:catAx>
        <c:axId val="130319872"/>
        <c:scaling>
          <c:orientation val="minMax"/>
        </c:scaling>
        <c:axPos val="b"/>
        <c:numFmt formatCode="General" sourceLinked="1"/>
        <c:majorTickMark val="none"/>
        <c:tickLblPos val="nextTo"/>
        <c:crossAx val="130321408"/>
        <c:crosses val="autoZero"/>
        <c:auto val="1"/>
        <c:lblAlgn val="ctr"/>
        <c:lblOffset val="100"/>
      </c:catAx>
      <c:valAx>
        <c:axId val="130321408"/>
        <c:scaling>
          <c:orientation val="minMax"/>
        </c:scaling>
        <c:axPos val="l"/>
        <c:majorGridlines/>
        <c:numFmt formatCode="0.00" sourceLinked="1"/>
        <c:majorTickMark val="none"/>
        <c:tickLblPos val="nextTo"/>
        <c:crossAx val="130319872"/>
        <c:crosses val="autoZero"/>
        <c:crossBetween val="between"/>
      </c:valAx>
      <c:dTable>
        <c:showHorzBorder val="1"/>
        <c:showVertBorder val="1"/>
        <c:showOutline val="1"/>
        <c:showKeys val="1"/>
      </c:dTable>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Days Sales Outstanding (DSO)</a:t>
            </a:r>
          </a:p>
        </c:rich>
      </c:tx>
      <c:spPr>
        <a:noFill/>
        <a:ln w="25400">
          <a:noFill/>
        </a:ln>
      </c:spPr>
    </c:title>
    <c:plotArea>
      <c:layout/>
      <c:lineChart>
        <c:grouping val="standard"/>
        <c:ser>
          <c:idx val="0"/>
          <c:order val="0"/>
          <c:tx>
            <c:strRef>
              <c:f>'Ratio Analysis'!$A$96</c:f>
              <c:strCache>
                <c:ptCount val="1"/>
                <c:pt idx="0">
                  <c:v>BANGAS</c:v>
                </c:pt>
              </c:strCache>
            </c:strRef>
          </c:tx>
          <c:cat>
            <c:numRef>
              <c:f>'Ratio Analysis'!$B$96:$F$96</c:f>
              <c:numCache>
                <c:formatCode>General</c:formatCode>
                <c:ptCount val="5"/>
                <c:pt idx="0">
                  <c:v>2009</c:v>
                </c:pt>
                <c:pt idx="1">
                  <c:v>2008</c:v>
                </c:pt>
                <c:pt idx="2">
                  <c:v>2007</c:v>
                </c:pt>
                <c:pt idx="3">
                  <c:v>2006</c:v>
                </c:pt>
                <c:pt idx="4">
                  <c:v>2005</c:v>
                </c:pt>
              </c:numCache>
            </c:numRef>
          </c:cat>
          <c:val>
            <c:numRef>
              <c:f>'Ratio Analysis'!$B$99:$F$99</c:f>
              <c:numCache>
                <c:formatCode>0.00</c:formatCode>
                <c:ptCount val="5"/>
                <c:pt idx="0">
                  <c:v>43.324354901452274</c:v>
                </c:pt>
                <c:pt idx="1">
                  <c:v>25.054414436994801</c:v>
                </c:pt>
                <c:pt idx="2">
                  <c:v>6.9995707821016353</c:v>
                </c:pt>
                <c:pt idx="3">
                  <c:v>9.163293706854013</c:v>
                </c:pt>
                <c:pt idx="4">
                  <c:v>25.923428924107789</c:v>
                </c:pt>
              </c:numCache>
            </c:numRef>
          </c:val>
        </c:ser>
        <c:ser>
          <c:idx val="1"/>
          <c:order val="1"/>
          <c:tx>
            <c:strRef>
              <c:f>'Ratio Analysis'!$A$101</c:f>
              <c:strCache>
                <c:ptCount val="1"/>
                <c:pt idx="0">
                  <c:v>Olympic</c:v>
                </c:pt>
              </c:strCache>
            </c:strRef>
          </c:tx>
          <c:cat>
            <c:numRef>
              <c:f>'Ratio Analysis'!$B$96:$F$96</c:f>
              <c:numCache>
                <c:formatCode>General</c:formatCode>
                <c:ptCount val="5"/>
                <c:pt idx="0">
                  <c:v>2009</c:v>
                </c:pt>
                <c:pt idx="1">
                  <c:v>2008</c:v>
                </c:pt>
                <c:pt idx="2">
                  <c:v>2007</c:v>
                </c:pt>
                <c:pt idx="3">
                  <c:v>2006</c:v>
                </c:pt>
                <c:pt idx="4">
                  <c:v>2005</c:v>
                </c:pt>
              </c:numCache>
            </c:numRef>
          </c:cat>
          <c:val>
            <c:numRef>
              <c:f>'Ratio Analysis'!$B$104:$F$104</c:f>
              <c:numCache>
                <c:formatCode>0.00</c:formatCode>
                <c:ptCount val="5"/>
                <c:pt idx="0">
                  <c:v>6.0202521307092693</c:v>
                </c:pt>
                <c:pt idx="1">
                  <c:v>4.3857719092586018</c:v>
                </c:pt>
                <c:pt idx="2">
                  <c:v>4.6328986693091085</c:v>
                </c:pt>
                <c:pt idx="3">
                  <c:v>3.0358050470618427</c:v>
                </c:pt>
                <c:pt idx="4">
                  <c:v>9.6465756187893721</c:v>
                </c:pt>
              </c:numCache>
            </c:numRef>
          </c:val>
        </c:ser>
        <c:marker val="1"/>
        <c:axId val="130417408"/>
        <c:axId val="130418944"/>
      </c:lineChart>
      <c:catAx>
        <c:axId val="130417408"/>
        <c:scaling>
          <c:orientation val="minMax"/>
        </c:scaling>
        <c:axPos val="b"/>
        <c:numFmt formatCode="General" sourceLinked="1"/>
        <c:majorTickMark val="none"/>
        <c:tickLblPos val="nextTo"/>
        <c:crossAx val="130418944"/>
        <c:crosses val="autoZero"/>
        <c:auto val="1"/>
        <c:lblAlgn val="ctr"/>
        <c:lblOffset val="100"/>
      </c:catAx>
      <c:valAx>
        <c:axId val="130418944"/>
        <c:scaling>
          <c:orientation val="minMax"/>
        </c:scaling>
        <c:axPos val="l"/>
        <c:majorGridlines/>
        <c:numFmt formatCode="0.00" sourceLinked="1"/>
        <c:majorTickMark val="none"/>
        <c:tickLblPos val="nextTo"/>
        <c:crossAx val="130417408"/>
        <c:crosses val="autoZero"/>
        <c:crossBetween val="between"/>
      </c:valAx>
      <c:dTable>
        <c:showHorzBorder val="1"/>
        <c:showVertBorder val="1"/>
        <c:showOutline val="1"/>
        <c:showKeys val="1"/>
      </c:dTable>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Fixed Asset Turnover Ratio</a:t>
            </a:r>
          </a:p>
        </c:rich>
      </c:tx>
      <c:spPr>
        <a:noFill/>
        <a:ln w="25400">
          <a:noFill/>
        </a:ln>
      </c:spPr>
    </c:title>
    <c:plotArea>
      <c:layout/>
      <c:lineChart>
        <c:grouping val="standard"/>
        <c:ser>
          <c:idx val="0"/>
          <c:order val="0"/>
          <c:tx>
            <c:strRef>
              <c:f>'Ratio Analysis'!$A$225</c:f>
              <c:strCache>
                <c:ptCount val="1"/>
                <c:pt idx="0">
                  <c:v>BANGAS</c:v>
                </c:pt>
              </c:strCache>
            </c:strRef>
          </c:tx>
          <c:cat>
            <c:numRef>
              <c:f>'Ratio Analysis'!$B$225:$F$225</c:f>
              <c:numCache>
                <c:formatCode>General</c:formatCode>
                <c:ptCount val="5"/>
                <c:pt idx="0">
                  <c:v>2009</c:v>
                </c:pt>
                <c:pt idx="1">
                  <c:v>2008</c:v>
                </c:pt>
                <c:pt idx="2">
                  <c:v>2007</c:v>
                </c:pt>
                <c:pt idx="3">
                  <c:v>2006</c:v>
                </c:pt>
                <c:pt idx="4">
                  <c:v>2005</c:v>
                </c:pt>
              </c:numCache>
            </c:numRef>
          </c:cat>
          <c:val>
            <c:numRef>
              <c:f>'Ratio Analysis'!$B$228:$F$228</c:f>
              <c:numCache>
                <c:formatCode>0.00</c:formatCode>
                <c:ptCount val="5"/>
                <c:pt idx="0">
                  <c:v>4.0806208023287338</c:v>
                </c:pt>
                <c:pt idx="1">
                  <c:v>4.0641917086051285</c:v>
                </c:pt>
                <c:pt idx="2">
                  <c:v>3.2582526022376479</c:v>
                </c:pt>
                <c:pt idx="3">
                  <c:v>2.7884992160449538</c:v>
                </c:pt>
                <c:pt idx="4">
                  <c:v>2.8785154570129392</c:v>
                </c:pt>
              </c:numCache>
            </c:numRef>
          </c:val>
        </c:ser>
        <c:ser>
          <c:idx val="1"/>
          <c:order val="1"/>
          <c:tx>
            <c:strRef>
              <c:f>'Ratio Analysis'!$A$230</c:f>
              <c:strCache>
                <c:ptCount val="1"/>
                <c:pt idx="0">
                  <c:v>Olympic</c:v>
                </c:pt>
              </c:strCache>
            </c:strRef>
          </c:tx>
          <c:cat>
            <c:numRef>
              <c:f>'Ratio Analysis'!$B$225:$F$225</c:f>
              <c:numCache>
                <c:formatCode>General</c:formatCode>
                <c:ptCount val="5"/>
                <c:pt idx="0">
                  <c:v>2009</c:v>
                </c:pt>
                <c:pt idx="1">
                  <c:v>2008</c:v>
                </c:pt>
                <c:pt idx="2">
                  <c:v>2007</c:v>
                </c:pt>
                <c:pt idx="3">
                  <c:v>2006</c:v>
                </c:pt>
                <c:pt idx="4">
                  <c:v>2005</c:v>
                </c:pt>
              </c:numCache>
            </c:numRef>
          </c:cat>
          <c:val>
            <c:numRef>
              <c:f>'Ratio Analysis'!$B$233:$F$233</c:f>
              <c:numCache>
                <c:formatCode>0.00</c:formatCode>
                <c:ptCount val="5"/>
                <c:pt idx="0">
                  <c:v>4.6156375784814818</c:v>
                </c:pt>
                <c:pt idx="1">
                  <c:v>5.358911433525976</c:v>
                </c:pt>
                <c:pt idx="2">
                  <c:v>4.3623037392878485</c:v>
                </c:pt>
                <c:pt idx="3">
                  <c:v>3.8164561166845439</c:v>
                </c:pt>
                <c:pt idx="4">
                  <c:v>2.7872363751313838</c:v>
                </c:pt>
              </c:numCache>
            </c:numRef>
          </c:val>
        </c:ser>
        <c:marker val="1"/>
        <c:axId val="130445312"/>
        <c:axId val="130446848"/>
      </c:lineChart>
      <c:catAx>
        <c:axId val="130445312"/>
        <c:scaling>
          <c:orientation val="minMax"/>
        </c:scaling>
        <c:axPos val="b"/>
        <c:numFmt formatCode="General" sourceLinked="1"/>
        <c:majorTickMark val="none"/>
        <c:tickLblPos val="nextTo"/>
        <c:crossAx val="130446848"/>
        <c:crosses val="autoZero"/>
        <c:auto val="1"/>
        <c:lblAlgn val="ctr"/>
        <c:lblOffset val="100"/>
      </c:catAx>
      <c:valAx>
        <c:axId val="130446848"/>
        <c:scaling>
          <c:orientation val="minMax"/>
        </c:scaling>
        <c:axPos val="l"/>
        <c:majorGridlines/>
        <c:numFmt formatCode="0.00" sourceLinked="1"/>
        <c:majorTickMark val="none"/>
        <c:tickLblPos val="nextTo"/>
        <c:crossAx val="130445312"/>
        <c:crosses val="autoZero"/>
        <c:crossBetween val="between"/>
      </c:valAx>
      <c:dTable>
        <c:showHorzBorder val="1"/>
        <c:showVertBorder val="1"/>
        <c:showOutline val="1"/>
        <c:showKeys val="1"/>
      </c:dTable>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Total Asset Turnover Ratio</a:t>
            </a:r>
          </a:p>
        </c:rich>
      </c:tx>
      <c:spPr>
        <a:noFill/>
        <a:ln w="25400">
          <a:noFill/>
        </a:ln>
      </c:spPr>
    </c:title>
    <c:plotArea>
      <c:layout/>
      <c:lineChart>
        <c:grouping val="standard"/>
        <c:ser>
          <c:idx val="0"/>
          <c:order val="0"/>
          <c:tx>
            <c:strRef>
              <c:f>'Ratio Analysis'!$A$108</c:f>
              <c:strCache>
                <c:ptCount val="1"/>
                <c:pt idx="0">
                  <c:v>BANGAS</c:v>
                </c:pt>
              </c:strCache>
            </c:strRef>
          </c:tx>
          <c:cat>
            <c:numRef>
              <c:f>'Ratio Analysis'!$B$108:$F$108</c:f>
              <c:numCache>
                <c:formatCode>General</c:formatCode>
                <c:ptCount val="5"/>
                <c:pt idx="0">
                  <c:v>2009</c:v>
                </c:pt>
                <c:pt idx="1">
                  <c:v>2008</c:v>
                </c:pt>
                <c:pt idx="2">
                  <c:v>2007</c:v>
                </c:pt>
                <c:pt idx="3">
                  <c:v>2006</c:v>
                </c:pt>
                <c:pt idx="4">
                  <c:v>2005</c:v>
                </c:pt>
              </c:numCache>
            </c:numRef>
          </c:cat>
          <c:val>
            <c:numRef>
              <c:f>'Ratio Analysis'!$B$111:$F$111</c:f>
              <c:numCache>
                <c:formatCode>0.00</c:formatCode>
                <c:ptCount val="5"/>
                <c:pt idx="0">
                  <c:v>1.3487141446152637</c:v>
                </c:pt>
                <c:pt idx="1">
                  <c:v>1.4875933334536158</c:v>
                </c:pt>
                <c:pt idx="2">
                  <c:v>1.4649847108477219</c:v>
                </c:pt>
                <c:pt idx="3">
                  <c:v>1.191617011371837</c:v>
                </c:pt>
                <c:pt idx="4">
                  <c:v>1.1503620049429981</c:v>
                </c:pt>
              </c:numCache>
            </c:numRef>
          </c:val>
        </c:ser>
        <c:ser>
          <c:idx val="1"/>
          <c:order val="1"/>
          <c:tx>
            <c:strRef>
              <c:f>'Ratio Analysis'!$A$116</c:f>
              <c:strCache>
                <c:ptCount val="1"/>
                <c:pt idx="0">
                  <c:v>Total Asset Turnover (Times)</c:v>
                </c:pt>
              </c:strCache>
            </c:strRef>
          </c:tx>
          <c:cat>
            <c:numRef>
              <c:f>'Ratio Analysis'!$B$108:$F$108</c:f>
              <c:numCache>
                <c:formatCode>General</c:formatCode>
                <c:ptCount val="5"/>
                <c:pt idx="0">
                  <c:v>2009</c:v>
                </c:pt>
                <c:pt idx="1">
                  <c:v>2008</c:v>
                </c:pt>
                <c:pt idx="2">
                  <c:v>2007</c:v>
                </c:pt>
                <c:pt idx="3">
                  <c:v>2006</c:v>
                </c:pt>
                <c:pt idx="4">
                  <c:v>2005</c:v>
                </c:pt>
              </c:numCache>
            </c:numRef>
          </c:cat>
          <c:val>
            <c:numRef>
              <c:f>'Ratio Analysis'!$B$116:$F$116</c:f>
              <c:numCache>
                <c:formatCode>0.00</c:formatCode>
                <c:ptCount val="5"/>
                <c:pt idx="0">
                  <c:v>2.1073950842427212</c:v>
                </c:pt>
                <c:pt idx="1">
                  <c:v>1.9076132717022061</c:v>
                </c:pt>
                <c:pt idx="2">
                  <c:v>1.5911908738334086</c:v>
                </c:pt>
                <c:pt idx="3">
                  <c:v>1.5496513140439878</c:v>
                </c:pt>
                <c:pt idx="4">
                  <c:v>1.035302115758012</c:v>
                </c:pt>
              </c:numCache>
            </c:numRef>
          </c:val>
        </c:ser>
        <c:marker val="1"/>
        <c:axId val="130456576"/>
        <c:axId val="130478848"/>
      </c:lineChart>
      <c:catAx>
        <c:axId val="130456576"/>
        <c:scaling>
          <c:orientation val="minMax"/>
        </c:scaling>
        <c:axPos val="b"/>
        <c:numFmt formatCode="General" sourceLinked="1"/>
        <c:majorTickMark val="none"/>
        <c:tickLblPos val="nextTo"/>
        <c:crossAx val="130478848"/>
        <c:crosses val="autoZero"/>
        <c:auto val="1"/>
        <c:lblAlgn val="ctr"/>
        <c:lblOffset val="100"/>
      </c:catAx>
      <c:valAx>
        <c:axId val="130478848"/>
        <c:scaling>
          <c:orientation val="minMax"/>
        </c:scaling>
        <c:axPos val="l"/>
        <c:majorGridlines/>
        <c:numFmt formatCode="0.00" sourceLinked="1"/>
        <c:majorTickMark val="none"/>
        <c:tickLblPos val="nextTo"/>
        <c:crossAx val="130456576"/>
        <c:crosses val="autoZero"/>
        <c:crossBetween val="between"/>
      </c:valAx>
      <c:dTable>
        <c:showHorzBorder val="1"/>
        <c:showVertBorder val="1"/>
        <c:showOutline val="1"/>
        <c:showKeys val="1"/>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94A15-35C5-4B15-A490-0457153B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40</Pages>
  <Words>6305</Words>
  <Characters>35943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cp:lastModifiedBy>
  <cp:revision>35</cp:revision>
  <dcterms:created xsi:type="dcterms:W3CDTF">2010-08-09T13:43:00Z</dcterms:created>
  <dcterms:modified xsi:type="dcterms:W3CDTF">2010-12-25T22:54:00Z</dcterms:modified>
</cp:coreProperties>
</file>